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F2BDA">
      <w:pPr>
        <w:ind w:left="0" w:leftChars="0" w:firstLine="0" w:firstLineChars="0"/>
        <w:jc w:val="center"/>
        <w:outlineLvl w:val="0"/>
        <w:rPr>
          <w:rFonts w:hint="default" w:ascii="Times New Roman" w:hAnsi="Times New Roman" w:eastAsia="黑体" w:cs="Times New Roman"/>
          <w:sz w:val="36"/>
          <w:szCs w:val="36"/>
          <w:lang w:val="en-US" w:eastAsia="zh-CN"/>
        </w:rPr>
      </w:pPr>
      <w:r>
        <w:rPr>
          <w:rFonts w:hint="eastAsia" w:ascii="Times New Roman" w:hAnsi="Times New Roman" w:eastAsia="黑体" w:cs="Times New Roman"/>
          <w:sz w:val="36"/>
          <w:szCs w:val="36"/>
          <w:lang w:val="en-US" w:eastAsia="zh-CN"/>
        </w:rPr>
        <w:t>四川射洪经济开发区创新创业产业园及基础设施建设项目</w:t>
      </w:r>
      <w:r>
        <w:rPr>
          <w:rFonts w:hint="default" w:ascii="Times New Roman" w:hAnsi="Times New Roman" w:eastAsia="黑体" w:cs="Times New Roman"/>
          <w:sz w:val="36"/>
          <w:szCs w:val="36"/>
          <w:lang w:val="en-US" w:eastAsia="zh-CN"/>
        </w:rPr>
        <w:t>情况说明</w:t>
      </w:r>
    </w:p>
    <w:p w14:paraId="45675231">
      <w:pPr>
        <w:numPr>
          <w:ilvl w:val="0"/>
          <w:numId w:val="0"/>
        </w:numPr>
        <w:spacing w:beforeLines="50" w:afterLines="50" w:line="360" w:lineRule="auto"/>
        <w:jc w:val="both"/>
        <w:outlineLvl w:val="0"/>
        <w:rPr>
          <w:rFonts w:hint="default" w:ascii="Times New Roman" w:hAnsi="Times New Roman" w:eastAsia="仿宋" w:cs="Times New Roman"/>
          <w:b/>
          <w:bCs/>
          <w:sz w:val="32"/>
          <w:szCs w:val="32"/>
        </w:rPr>
      </w:pPr>
      <w:bookmarkStart w:id="0" w:name="_Toc29970"/>
      <w:r>
        <w:rPr>
          <w:rFonts w:hint="default"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rPr>
        <w:t>项目基本情况</w:t>
      </w:r>
      <w:bookmarkEnd w:id="0"/>
    </w:p>
    <w:p w14:paraId="681BA74F">
      <w:pPr>
        <w:pStyle w:val="3"/>
        <w:tabs>
          <w:tab w:val="left" w:pos="0"/>
          <w:tab w:val="left" w:pos="3285"/>
        </w:tabs>
        <w:bidi w:val="0"/>
        <w:ind w:left="0" w:leftChars="0" w:firstLine="643" w:firstLineChars="200"/>
        <w:rPr>
          <w:rFonts w:hint="default" w:ascii="Times New Roman" w:hAnsi="Times New Roman" w:cs="Times New Roman"/>
          <w:lang w:val="en-US" w:eastAsia="zh-CN"/>
        </w:rPr>
      </w:pPr>
      <w:bookmarkStart w:id="1" w:name="_Toc23046"/>
      <w:bookmarkStart w:id="2" w:name="_Toc18161"/>
      <w:bookmarkStart w:id="3" w:name="_Toc446"/>
      <w:bookmarkStart w:id="4" w:name="_Toc16352"/>
      <w:bookmarkStart w:id="5" w:name="_Toc18424"/>
      <w:bookmarkStart w:id="6" w:name="_Toc3378"/>
      <w:bookmarkStart w:id="7" w:name="_Toc30768"/>
      <w:bookmarkStart w:id="8" w:name="_Toc19274"/>
      <w:bookmarkStart w:id="9" w:name="_Toc8651"/>
      <w:bookmarkStart w:id="10" w:name="_Toc9841"/>
      <w:bookmarkStart w:id="11" w:name="_Toc30057"/>
      <w:bookmarkStart w:id="12" w:name="_Toc21332"/>
      <w:bookmarkStart w:id="13" w:name="_Toc18204"/>
      <w:bookmarkStart w:id="14" w:name="_Toc29490"/>
      <w:r>
        <w:rPr>
          <w:rFonts w:hint="default" w:ascii="Times New Roman" w:hAnsi="Times New Roman" w:cs="Times New Roman"/>
          <w:lang w:val="en-US" w:eastAsia="zh-CN"/>
        </w:rPr>
        <w:t>1.基本情况</w:t>
      </w:r>
      <w:bookmarkEnd w:id="1"/>
      <w:bookmarkEnd w:id="2"/>
      <w:bookmarkEnd w:id="3"/>
      <w:bookmarkEnd w:id="4"/>
      <w:bookmarkEnd w:id="5"/>
    </w:p>
    <w:p w14:paraId="5B0C8AA6">
      <w:pPr>
        <w:shd w:val="clear"/>
        <w:ind w:firstLine="560"/>
        <w:rPr>
          <w:rFonts w:hint="default" w:ascii="Times New Roman" w:hAnsi="Times New Roman" w:cs="Times New Roman"/>
        </w:rPr>
      </w:pPr>
      <w:bookmarkStart w:id="15" w:name="_Toc27881"/>
      <w:r>
        <w:rPr>
          <w:rFonts w:hint="default" w:ascii="Times New Roman" w:hAnsi="Times New Roman" w:cs="Times New Roman"/>
        </w:rPr>
        <w:t>（1）社会发展现状</w:t>
      </w:r>
    </w:p>
    <w:p w14:paraId="5DF21AB9">
      <w:pPr>
        <w:shd w:val="clear"/>
        <w:ind w:firstLine="560"/>
        <w:rPr>
          <w:rFonts w:hint="default" w:ascii="Times New Roman" w:hAnsi="Times New Roman" w:cs="Times New Roman"/>
        </w:rPr>
      </w:pPr>
      <w:r>
        <w:rPr>
          <w:rFonts w:hint="default" w:ascii="Times New Roman" w:hAnsi="Times New Roman" w:cs="Times New Roman"/>
        </w:rPr>
        <w:t>射洪市，四川省辖县级市，由遂宁市代管，地处四川盆地中部、涪江中游、成渝地区双城经济圈北弧中心，幅员面积1496平方公里。射洪市辖21个镇、2个街道，市政府驻人民街106号。射洪市户籍总人口93.39万人。</w:t>
      </w:r>
    </w:p>
    <w:p w14:paraId="30699E76">
      <w:pPr>
        <w:shd w:val="clear"/>
        <w:ind w:firstLine="560"/>
        <w:rPr>
          <w:rFonts w:hint="default" w:ascii="Times New Roman" w:hAnsi="Times New Roman" w:cs="Times New Roman"/>
        </w:rPr>
      </w:pPr>
      <w:r>
        <w:rPr>
          <w:rFonts w:hint="default" w:ascii="Times New Roman" w:hAnsi="Times New Roman" w:cs="Times New Roman"/>
        </w:rPr>
        <w:t>射洪市地处四川盆地中部丘陵区北缘，介于北纬30°40′～31°10，东经105°10′～105°39′之间，涪江上游，遂宁以北。东靠南充，西邻成都，南接重庆，北抵绵阳，位于成渝经济区北弧中心，属全省“一极一轴一区块”成都都市圈增长极。射洪市东西最宽处46公里，南北最长处58.6公里，幅员面积1496平方公里。</w:t>
      </w:r>
    </w:p>
    <w:p w14:paraId="2661DA47">
      <w:pPr>
        <w:shd w:val="clear"/>
        <w:ind w:firstLine="560"/>
        <w:rPr>
          <w:rFonts w:hint="default" w:ascii="Times New Roman" w:hAnsi="Times New Roman" w:cs="Times New Roman"/>
        </w:rPr>
      </w:pPr>
      <w:r>
        <w:rPr>
          <w:rFonts w:hint="default" w:ascii="Times New Roman" w:hAnsi="Times New Roman" w:cs="Times New Roman"/>
        </w:rPr>
        <w:t>射洪市境呈心脏形，西北高，东南低。射洪市为典型的红层丘陵地貌，以丘陵为主，地貌类型有低山、高丘、中丘、低丘、河谷地貌。丘陵地区占89.1%（其中低山地貌占县辖区面积的20.4%，高丘地貌占市辖区面积的35.4%，中丘地貌占市辖区面积的17.3%，低丘地貌占市辖区面积的21%）河谷地貌市辖区面积的10.9%。境内海拔最高点674米（金华镇武东天宝寨），海拔最低点299米（沱牌镇涪江出口处），相对高差375米。</w:t>
      </w:r>
    </w:p>
    <w:p w14:paraId="055AF679">
      <w:pPr>
        <w:shd w:val="clear"/>
        <w:ind w:firstLine="560"/>
        <w:rPr>
          <w:rFonts w:hint="default" w:ascii="Times New Roman" w:hAnsi="Times New Roman" w:cs="Times New Roman"/>
        </w:rPr>
      </w:pPr>
      <w:r>
        <w:rPr>
          <w:rFonts w:hint="default" w:ascii="Times New Roman" w:hAnsi="Times New Roman" w:cs="Times New Roman"/>
        </w:rPr>
        <w:t>射洪市气候属四川盆地亚热带湿润气候。其气候特点为云多雾重、冬暖春旱、无霜期长、雨量充沛且雨热同季和夏旱伏旱、秋多绵雨。无霜期长达284天。年平均日照1310.7小时，年平均辐射总量为90.673千卡/平方厘米，年平均气温17.2°C。年降雨量885.0毫米，年平均蒸发量为1112.3毫米。由于降雨时空分布不均，导致干旱、洪涝、暴雨时有发生，常见的自然灾害有大雾、大风、寒潮、霜冻等。</w:t>
      </w:r>
    </w:p>
    <w:p w14:paraId="5B4CFFC0">
      <w:pPr>
        <w:shd w:val="clear"/>
        <w:ind w:firstLine="560"/>
        <w:rPr>
          <w:rFonts w:hint="default" w:ascii="Times New Roman" w:hAnsi="Times New Roman" w:cs="Times New Roman"/>
        </w:rPr>
      </w:pPr>
      <w:r>
        <w:rPr>
          <w:rFonts w:hint="default" w:ascii="Times New Roman" w:hAnsi="Times New Roman" w:cs="Times New Roman"/>
        </w:rPr>
        <w:t>射洪市境位于盆中岷、沱、嘉中下游与盆北嘉陵江中下游春季较少水区的分界线上。自然水系以涪江为主干流，梓江、青岗河、桃花河、富同河为主支流，呈树枝状延伸全县境域。全市还人工修建了人民渠、前锋渠、武引渠等引水工程渠系。民国时期龙宝山设有水位观测站，1951年1月太和镇水文站（1967年1月改名射洪水文站），1953年5月天仙寺水文站先后成立，以始有水文观测资料。涪江发源于松潘县雪宝顶，经绵阳涪城区、三台县、射洪市、蓬溪县、遂宁市船山区、重庆市潼南、合川注入嘉陵江，全长670公里，流域面积36400平方公里。</w:t>
      </w:r>
    </w:p>
    <w:p w14:paraId="237CB3F9">
      <w:pPr>
        <w:shd w:val="clear"/>
        <w:ind w:firstLine="560"/>
        <w:rPr>
          <w:rFonts w:hint="default" w:ascii="Times New Roman" w:hAnsi="Times New Roman" w:cs="Times New Roman"/>
        </w:rPr>
      </w:pPr>
      <w:r>
        <w:rPr>
          <w:rFonts w:hint="default" w:ascii="Times New Roman" w:hAnsi="Times New Roman" w:cs="Times New Roman"/>
        </w:rPr>
        <w:t>（2）经济发展现状</w:t>
      </w:r>
    </w:p>
    <w:p w14:paraId="4E5E84B8">
      <w:pPr>
        <w:shd w:val="clear"/>
        <w:ind w:firstLine="560"/>
        <w:rPr>
          <w:rFonts w:hint="default" w:ascii="Times New Roman" w:hAnsi="Times New Roman" w:cs="Times New Roman"/>
          <w:color w:val="auto"/>
          <w:highlight w:val="none"/>
          <w:lang w:val="en-US" w:eastAsia="zh-CN"/>
        </w:rPr>
      </w:pPr>
      <w:r>
        <w:rPr>
          <w:rFonts w:hint="default" w:ascii="Times New Roman" w:hAnsi="Times New Roman" w:cs="Times New Roman"/>
        </w:rPr>
        <w:t>2023年地区生产总值同比增长（下同）8.1%；完成地方一般公共预算收入33.03亿元、增长10.1%，其中税收收入16.15亿元，占比48.9%；规上工业增加值增长15.8%；全社会固定资产投资增长6.8%；社会消费品零售总额201.47亿元、增长8.2%；外贸进出口总额45.4亿元、增长162.4%；城乡居民人均可支配收入分别增长4.8%、7.0%；三次产业结构比13.8：55.9：30.3。全国百强县成功进位，居第94位，成功入选2023年全国百强县先进经验目录。</w:t>
      </w:r>
    </w:p>
    <w:bookmarkEnd w:id="15"/>
    <w:p w14:paraId="06014D02">
      <w:pPr>
        <w:pStyle w:val="3"/>
        <w:numPr>
          <w:ilvl w:val="0"/>
          <w:numId w:val="2"/>
        </w:numPr>
        <w:tabs>
          <w:tab w:val="left" w:pos="0"/>
          <w:tab w:val="left" w:pos="3285"/>
        </w:tabs>
        <w:bidi w:val="0"/>
        <w:ind w:left="0" w:leftChars="0" w:firstLine="643" w:firstLineChars="200"/>
        <w:rPr>
          <w:rFonts w:hint="default" w:ascii="Times New Roman" w:hAnsi="Times New Roman" w:cs="Times New Roman"/>
          <w:lang w:val="en-US" w:eastAsia="zh-CN"/>
        </w:rPr>
      </w:pPr>
      <w:bookmarkStart w:id="16" w:name="_Toc4587"/>
      <w:bookmarkStart w:id="17" w:name="_Toc28597"/>
      <w:bookmarkStart w:id="18" w:name="_Toc24618"/>
      <w:bookmarkStart w:id="19" w:name="_Toc20653"/>
      <w:bookmarkStart w:id="20" w:name="_Toc539"/>
      <w:r>
        <w:rPr>
          <w:rFonts w:hint="default" w:ascii="Times New Roman" w:hAnsi="Times New Roman" w:cs="Times New Roman"/>
          <w:lang w:val="en-US" w:eastAsia="zh-CN"/>
        </w:rPr>
        <w:t>行业专项规划概况</w:t>
      </w:r>
      <w:bookmarkEnd w:id="16"/>
      <w:bookmarkEnd w:id="17"/>
      <w:bookmarkEnd w:id="18"/>
      <w:bookmarkEnd w:id="19"/>
      <w:bookmarkEnd w:id="20"/>
    </w:p>
    <w:p w14:paraId="0E3DD95E">
      <w:pPr>
        <w:bidi w:val="0"/>
        <w:rPr>
          <w:rFonts w:hint="default"/>
          <w:lang w:val="en-US" w:eastAsia="zh-CN"/>
        </w:rPr>
      </w:pPr>
      <w:r>
        <w:rPr>
          <w:rFonts w:hint="default"/>
          <w:lang w:val="en-US" w:eastAsia="zh-CN"/>
        </w:rPr>
        <w:t>（1）国家相关政策及规划</w:t>
      </w:r>
    </w:p>
    <w:p w14:paraId="7F3A428F">
      <w:pPr>
        <w:bidi w:val="0"/>
        <w:rPr>
          <w:rFonts w:hint="default"/>
          <w:lang w:val="en-US" w:eastAsia="zh-CN"/>
        </w:rPr>
      </w:pPr>
      <w:r>
        <w:rPr>
          <w:rFonts w:hint="default"/>
          <w:lang w:val="en-US" w:eastAsia="zh-CN"/>
        </w:rPr>
        <w:t>《国务院关于推动创新创业高质量发展打造“双创”升级版的意见》（国发〔2018〕32号）培育创新创业集聚区。支持符合条件的经济技术开发区打造大中小企业融通型、科技资源支撑型等不同类型的创新创业特色载体。鼓励国家级新区探索通用航空、体育休闲、养老服务、安全等产业与城市融合发展的新机制和新模式。推进雄安新区创新发展，打造体制机制新高地和京津冀协同创新重要平台。推动承接产业转移示范区、高新技术开发区聚焦战略性新兴产业构建园区配套及服务体系，充分发挥创新创业集群效应。支持有条件的省市建设综合性国家产业创新中心，提升关键核心技术创新能力。依托中心城市和都市圈，探索打造跨区域协同创新平台。</w:t>
      </w:r>
    </w:p>
    <w:p w14:paraId="2F1A2A67">
      <w:pPr>
        <w:bidi w:val="0"/>
        <w:rPr>
          <w:rFonts w:hint="default"/>
          <w:lang w:val="en-US" w:eastAsia="zh-CN"/>
        </w:rPr>
      </w:pPr>
      <w:r>
        <w:rPr>
          <w:rFonts w:hint="default"/>
          <w:lang w:val="en-US" w:eastAsia="zh-CN"/>
        </w:rPr>
        <w:t>《中国制造2025蓝皮书（2016）》指出：中国的智能制造产业面临的技术创新能力薄弱，产业规模小，企业小、散、弱等问题亟待解决。《国家创新驱动发展战略纲要》要求，按照“争高端、促转型、强基础”的总体目标，强化制造核心基础件和智能制造关键基础技术，在增材制造、激光制造、智能机器人、智能成套装备、新型电子制造装备等领域掌握一批具有自主知识产权的核心关键技术与装备产品，促进制造业创新发展，提高综合集成水平，促进产业转型升级，实现制造业由大变强的跨越。</w:t>
      </w:r>
    </w:p>
    <w:p w14:paraId="5C107D97">
      <w:pPr>
        <w:bidi w:val="0"/>
        <w:rPr>
          <w:rFonts w:hint="default"/>
          <w:lang w:val="en-US" w:eastAsia="zh-CN"/>
        </w:rPr>
      </w:pPr>
      <w:r>
        <w:rPr>
          <w:rFonts w:hint="default"/>
          <w:lang w:val="en-US" w:eastAsia="zh-CN"/>
        </w:rPr>
        <w:t>《国务院办公厅关于促进开发区改革和创新发展的若干意见》（国办发2017〕7号）提出：开发区要坚持以产业发展为主，成为本地区制造业、高新技术产业和生产性服务业集聚发展平台，成为实施制造强国战略和创新驱动发展战略的重要载体。要科学规划功能布局，突出生产功能，统筹生活区、商务区、办公区等城市功能建设，促进新型城镇化发展。突出先进制造业、战略性新兴产业、加工贸易等产业特色。要依托区域资源优势，推动产业要素集聚，成为区域经济增长极，带动区域经济结构优化升级。</w:t>
      </w:r>
    </w:p>
    <w:p w14:paraId="438F8E15">
      <w:pPr>
        <w:bidi w:val="0"/>
        <w:rPr>
          <w:rFonts w:hint="default"/>
          <w:lang w:val="en-US" w:eastAsia="zh-CN"/>
        </w:rPr>
      </w:pPr>
      <w:r>
        <w:rPr>
          <w:rFonts w:hint="default"/>
          <w:lang w:val="en-US" w:eastAsia="zh-CN"/>
        </w:rPr>
        <w:t>（2）四川省相关政策及规划</w:t>
      </w:r>
    </w:p>
    <w:p w14:paraId="5F04720F">
      <w:pPr>
        <w:bidi w:val="0"/>
        <w:rPr>
          <w:rFonts w:hint="default"/>
          <w:lang w:val="en-US" w:eastAsia="zh-CN"/>
        </w:rPr>
      </w:pPr>
      <w:r>
        <w:rPr>
          <w:rFonts w:hint="default"/>
          <w:lang w:val="en-US" w:eastAsia="zh-CN"/>
        </w:rPr>
        <w:t>《四川省“十四五”规划和2035年远景目标纲要》指出：培育产业生态主导型企业，加大垂直一体化整合力度，构建大中小企业配套、上下游企业协同的产业生态圈，推动优势产业集群发展，做强万亿级支柱产业。聚焦半导体、新一代网络技术、智能终端软件等领域，突出创新驱动，构建世界级电子信息产业集群。锚定航空航天、能源装备、燃气轮机、数控机床、工业机器人等重点领域，突出质量为先，打造世界级装备制造产业集群。推动优质白酒和精制川茶、饮用水、健康食品、精品服饰、特色轻工等创新发展，突出品牌制胜，培育世界级消费品产业集群。壮大钒钛、锂钾、铝基、晶硅、稀土、氟硅、玄武岩纤维等生产基地，形成全国重要的先进材料产业集群。大力发展清洁能源，促进大宗化工原料向精细化工转型，加快建设有国际竞争力的能源化工产业集群。以智能网联和新能源为主攻方向，建设高水平汽车产业集群。实施开发区“提扩培引”工程，重点支持千亿级园区和特色产业园区建设。继续支持老工业地区振兴发展和资源型地区转型发展。</w:t>
      </w:r>
    </w:p>
    <w:p w14:paraId="23AEA46B">
      <w:pPr>
        <w:bidi w:val="0"/>
        <w:rPr>
          <w:rFonts w:hint="default"/>
          <w:lang w:val="en-US" w:eastAsia="zh-CN"/>
        </w:rPr>
      </w:pPr>
      <w:r>
        <w:rPr>
          <w:rFonts w:hint="default"/>
          <w:lang w:val="en-US" w:eastAsia="zh-CN"/>
        </w:rPr>
        <w:t>（3）遂宁市相关政策及规划</w:t>
      </w:r>
    </w:p>
    <w:p w14:paraId="66A9E946">
      <w:pPr>
        <w:bidi w:val="0"/>
        <w:rPr>
          <w:rFonts w:hint="default"/>
          <w:lang w:val="en-US" w:eastAsia="zh-CN"/>
        </w:rPr>
      </w:pPr>
      <w:r>
        <w:rPr>
          <w:rFonts w:hint="default"/>
          <w:lang w:val="en-US" w:eastAsia="zh-CN"/>
        </w:rPr>
        <w:t>《遂宁市加快建设发展特色优势产业园区的意见》提出：特色优势产业园区（以下简称“特色园区”）坚持特色化、专业化、集约化、市场化发展方向，园区定位明确、产业集聚明显，园区内企业与研发、服务等机构形成耦合关系，园区从单一的生产型功能向复合的产业发展平台功能转型，形成功能布局合理、产业特色鲜明、产业生态优良、承载力强、竞争力强、影响力强的新型工业产业园区。</w:t>
      </w:r>
    </w:p>
    <w:p w14:paraId="1AFF2408">
      <w:pPr>
        <w:bidi w:val="0"/>
        <w:rPr>
          <w:rFonts w:hint="default"/>
          <w:lang w:val="en-US" w:eastAsia="zh-CN"/>
        </w:rPr>
      </w:pPr>
      <w:r>
        <w:rPr>
          <w:rFonts w:hint="default"/>
          <w:lang w:val="en-US" w:eastAsia="zh-CN"/>
        </w:rPr>
        <w:t>打造优质园区载体。支持各县（市、区）、市直园区在合规区域内，以建设高品质园区平台、集聚发展优势产业集群为目标，规划建设具有产业引领能力、产业发展优质生态、要素保障优良体系、科技创新发展优势、运行服务高效机制、绩效发展高质目标的工业特色园区。各特色园区按照“一园一主产、一园一精策”原则科学规划主导产业，主导产业营业收入五年发展目标应不低于100亿元。</w:t>
      </w:r>
    </w:p>
    <w:p w14:paraId="120D2CF8">
      <w:pPr>
        <w:bidi w:val="0"/>
        <w:rPr>
          <w:rFonts w:hint="default"/>
          <w:lang w:val="en-US" w:eastAsia="zh-CN"/>
        </w:rPr>
      </w:pPr>
      <w:r>
        <w:rPr>
          <w:rFonts w:hint="default"/>
          <w:lang w:val="en-US" w:eastAsia="zh-CN"/>
        </w:rPr>
        <w:t>优化产业空间布局。按照全市工业主导产业统筹布局，各特色园区集中优势资源实施特色发展、错位发展、互补发展。支持大园区围绕特色园区建设需要，高标准高起点编制或调整完善特色园区空间布局规划、产业发展规划、重大项目规划。优先支持发展成效好的特色产业园区所在的大园区扩区拓园。</w:t>
      </w:r>
    </w:p>
    <w:p w14:paraId="7548AD5C">
      <w:pPr>
        <w:bidi w:val="0"/>
        <w:rPr>
          <w:rFonts w:hint="default"/>
          <w:lang w:val="en-US" w:eastAsia="zh-CN"/>
        </w:rPr>
      </w:pPr>
      <w:r>
        <w:rPr>
          <w:rFonts w:hint="default"/>
          <w:lang w:val="en-US" w:eastAsia="zh-CN"/>
        </w:rPr>
        <w:t>发展特色产业集群。聚焦全市“3+3+3”工业体系，以特色园区为载体，强化特色园区主导产业链上下游协同，提升发展锂电、电子信息、能源化工、绿色食品产业集群，加快发展装备制造、智能家居产业集群，培育发展大数据（数据处理和卫星遥感信息服务）、生物医药、节能环保、新材料产业集群。支持各特色园区招引主导产业重大项目，全市统筹优先引导、支持重大产业项目落户对应主导产业特色园区。</w:t>
      </w:r>
    </w:p>
    <w:p w14:paraId="12A722A1">
      <w:pPr>
        <w:bidi w:val="0"/>
        <w:rPr>
          <w:rFonts w:hint="default"/>
          <w:lang w:val="en-US" w:eastAsia="zh-CN"/>
        </w:rPr>
      </w:pPr>
      <w:r>
        <w:rPr>
          <w:rFonts w:hint="default"/>
          <w:lang w:val="en-US" w:eastAsia="zh-CN"/>
        </w:rPr>
        <w:t>综上所述，本项目建设是贯彻落实相关文件，无论从国家还是省以及到市，无一不要求促进城市产业发展，从基础设施建设完善做起，是加快全面建成小康社会建设和构建和谐社会的具体行动和重要举措。因此，该项目是遂宁市射洪市发展的需要</w:t>
      </w:r>
    </w:p>
    <w:p w14:paraId="503F154C">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jc w:val="both"/>
        <w:textAlignment w:val="auto"/>
        <w:outlineLvl w:val="1"/>
        <w:rPr>
          <w:rFonts w:hint="default" w:ascii="Times New Roman" w:hAnsi="Times New Roman" w:eastAsia="黑体" w:cs="Times New Roman"/>
          <w:sz w:val="32"/>
          <w:szCs w:val="32"/>
          <w:lang w:val="en-US" w:eastAsia="zh-CN"/>
        </w:rPr>
      </w:pPr>
      <w:r>
        <w:rPr>
          <w:rFonts w:hint="default" w:ascii="Times New Roman" w:hAnsi="Times New Roman" w:eastAsia="仿宋" w:cs="Times New Roman"/>
          <w:b/>
          <w:bCs/>
          <w:sz w:val="32"/>
          <w:szCs w:val="32"/>
          <w:lang w:val="en-US" w:eastAsia="zh-CN"/>
        </w:rPr>
        <w:t>（二）项目情况</w:t>
      </w:r>
      <w:bookmarkEnd w:id="6"/>
      <w:bookmarkEnd w:id="7"/>
      <w:bookmarkEnd w:id="8"/>
      <w:bookmarkEnd w:id="9"/>
      <w:bookmarkEnd w:id="10"/>
      <w:bookmarkEnd w:id="11"/>
      <w:bookmarkEnd w:id="12"/>
      <w:bookmarkEnd w:id="13"/>
    </w:p>
    <w:bookmarkEnd w:id="14"/>
    <w:p w14:paraId="3BEA83C0">
      <w:pPr>
        <w:keepNext/>
        <w:keepLines/>
        <w:widowControl w:val="0"/>
        <w:numPr>
          <w:ilvl w:val="2"/>
          <w:numId w:val="0"/>
        </w:numPr>
        <w:shd w:val="clear"/>
        <w:spacing w:before="0" w:after="0" w:line="360" w:lineRule="auto"/>
        <w:ind w:firstLine="643" w:firstLineChars="200"/>
        <w:jc w:val="left"/>
        <w:outlineLvl w:val="2"/>
        <w:rPr>
          <w:rFonts w:hint="default" w:ascii="Times New Roman" w:hAnsi="Times New Roman" w:eastAsia="仿宋" w:cs="Times New Roman"/>
          <w:b/>
          <w:color w:val="auto"/>
          <w:kern w:val="2"/>
          <w:sz w:val="32"/>
          <w:szCs w:val="24"/>
          <w:highlight w:val="none"/>
          <w:lang w:val="en-US" w:eastAsia="zh-CN" w:bidi="ar-SA"/>
        </w:rPr>
      </w:pPr>
      <w:bookmarkStart w:id="21" w:name="_Toc20593"/>
      <w:bookmarkStart w:id="22" w:name="_Toc6078"/>
      <w:bookmarkStart w:id="23" w:name="_Toc11692"/>
      <w:bookmarkStart w:id="24" w:name="_Toc1064"/>
      <w:bookmarkStart w:id="25" w:name="_Toc30394"/>
      <w:bookmarkStart w:id="26" w:name="_Toc20725"/>
      <w:bookmarkStart w:id="27" w:name="_Toc6529"/>
      <w:bookmarkStart w:id="28" w:name="_Toc4804"/>
      <w:bookmarkStart w:id="29" w:name="_Toc7679"/>
      <w:bookmarkStart w:id="30" w:name="_Toc23988"/>
      <w:bookmarkStart w:id="31" w:name="_Toc522211065"/>
      <w:bookmarkStart w:id="32" w:name="_Toc1720132"/>
      <w:bookmarkStart w:id="33" w:name="_Toc523481534"/>
      <w:bookmarkStart w:id="34" w:name="_Toc1403"/>
      <w:bookmarkStart w:id="35" w:name="_Toc533440322"/>
      <w:r>
        <w:rPr>
          <w:rFonts w:hint="default" w:ascii="Times New Roman" w:hAnsi="Times New Roman" w:eastAsia="仿宋" w:cs="Times New Roman"/>
          <w:b/>
          <w:color w:val="auto"/>
          <w:kern w:val="2"/>
          <w:sz w:val="32"/>
          <w:szCs w:val="24"/>
          <w:highlight w:val="none"/>
          <w:lang w:val="en-US" w:eastAsia="zh-CN" w:bidi="ar-SA"/>
        </w:rPr>
        <w:t>1</w:t>
      </w:r>
      <w:r>
        <w:rPr>
          <w:rFonts w:hint="default" w:ascii="Times New Roman" w:hAnsi="Times New Roman" w:cs="Times New Roman"/>
          <w:b/>
          <w:color w:val="auto"/>
          <w:kern w:val="2"/>
          <w:sz w:val="32"/>
          <w:szCs w:val="24"/>
          <w:highlight w:val="none"/>
          <w:lang w:val="en-US" w:eastAsia="zh-CN" w:bidi="ar-SA"/>
        </w:rPr>
        <w:t>.</w:t>
      </w:r>
      <w:r>
        <w:rPr>
          <w:rFonts w:hint="default" w:ascii="Times New Roman" w:hAnsi="Times New Roman" w:eastAsia="仿宋" w:cs="Times New Roman"/>
          <w:b/>
          <w:color w:val="auto"/>
          <w:kern w:val="2"/>
          <w:sz w:val="32"/>
          <w:szCs w:val="24"/>
          <w:highlight w:val="none"/>
          <w:lang w:val="en-US" w:eastAsia="zh-CN" w:bidi="ar-SA"/>
        </w:rPr>
        <w:t>参与主体</w:t>
      </w:r>
      <w:bookmarkEnd w:id="21"/>
      <w:bookmarkEnd w:id="22"/>
      <w:bookmarkEnd w:id="23"/>
      <w:bookmarkEnd w:id="24"/>
      <w:bookmarkEnd w:id="25"/>
      <w:bookmarkEnd w:id="26"/>
      <w:bookmarkEnd w:id="27"/>
      <w:bookmarkEnd w:id="28"/>
      <w:bookmarkEnd w:id="29"/>
      <w:bookmarkEnd w:id="30"/>
    </w:p>
    <w:p w14:paraId="0285D22C">
      <w:pPr>
        <w:shd w:val="clear"/>
        <w:ind w:firstLine="560"/>
        <w:jc w:val="left"/>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实施机构：</w:t>
      </w:r>
      <w:r>
        <w:rPr>
          <w:rFonts w:hint="eastAsia" w:ascii="Times New Roman" w:hAnsi="Times New Roman" w:cs="Times New Roman"/>
          <w:color w:val="auto"/>
          <w:highlight w:val="none"/>
          <w:lang w:val="en-US" w:eastAsia="zh-CN"/>
        </w:rPr>
        <w:t>四川射洪经济开发区管理委员会</w:t>
      </w:r>
    </w:p>
    <w:p w14:paraId="2F7CA2C2">
      <w:pPr>
        <w:shd w:val="clear"/>
        <w:ind w:firstLine="560"/>
        <w:jc w:val="left"/>
        <w:rPr>
          <w:rFonts w:hint="default" w:ascii="Times New Roman" w:hAnsi="Times New Roman" w:cs="Times New Roman"/>
          <w:color w:val="auto"/>
          <w:highlight w:val="none"/>
          <w:lang w:val="en-US" w:eastAsia="zh-CN"/>
        </w:rPr>
      </w:pPr>
      <w:r>
        <w:rPr>
          <w:rFonts w:hint="default" w:ascii="Times New Roman" w:hAnsi="Times New Roman" w:eastAsia="仿宋" w:cs="Times New Roman"/>
          <w:color w:val="auto"/>
          <w:highlight w:val="none"/>
        </w:rPr>
        <w:t>业主单位：</w:t>
      </w:r>
      <w:r>
        <w:rPr>
          <w:rFonts w:hint="eastAsia" w:ascii="Times New Roman" w:hAnsi="Times New Roman" w:cs="Times New Roman"/>
          <w:color w:val="auto"/>
          <w:highlight w:val="none"/>
          <w:lang w:eastAsia="zh-CN"/>
        </w:rPr>
        <w:t>射洪市欣置建筑有限责任公司</w:t>
      </w:r>
    </w:p>
    <w:p w14:paraId="45F1D913">
      <w:pPr>
        <w:keepNext/>
        <w:keepLines/>
        <w:widowControl w:val="0"/>
        <w:numPr>
          <w:ilvl w:val="2"/>
          <w:numId w:val="0"/>
        </w:numPr>
        <w:shd w:val="clear"/>
        <w:spacing w:before="10" w:after="10" w:line="360" w:lineRule="auto"/>
        <w:ind w:firstLine="643" w:firstLineChars="200"/>
        <w:jc w:val="left"/>
        <w:outlineLvl w:val="2"/>
        <w:rPr>
          <w:rFonts w:hint="default" w:ascii="Times New Roman" w:hAnsi="Times New Roman" w:eastAsia="仿宋" w:cs="Times New Roman"/>
          <w:b/>
          <w:color w:val="auto"/>
          <w:kern w:val="2"/>
          <w:sz w:val="32"/>
          <w:szCs w:val="24"/>
          <w:highlight w:val="none"/>
          <w:lang w:val="en-US" w:eastAsia="zh-CN" w:bidi="ar-SA"/>
        </w:rPr>
      </w:pPr>
      <w:bookmarkStart w:id="36" w:name="_Toc17565"/>
      <w:bookmarkStart w:id="37" w:name="_Toc16934"/>
      <w:bookmarkStart w:id="38" w:name="_Toc30046"/>
      <w:bookmarkStart w:id="39" w:name="_Toc14972"/>
      <w:bookmarkStart w:id="40" w:name="_Toc10923"/>
      <w:bookmarkStart w:id="41" w:name="_Toc3753"/>
      <w:bookmarkStart w:id="42" w:name="_Toc5191"/>
      <w:bookmarkStart w:id="43" w:name="_Toc5326"/>
      <w:bookmarkStart w:id="44" w:name="_Toc31104"/>
      <w:bookmarkStart w:id="45" w:name="_Toc13049"/>
      <w:bookmarkStart w:id="46" w:name="_Toc14638"/>
      <w:r>
        <w:rPr>
          <w:rFonts w:hint="default" w:ascii="Times New Roman" w:hAnsi="Times New Roman" w:eastAsia="仿宋" w:cs="Times New Roman"/>
          <w:b/>
          <w:color w:val="auto"/>
          <w:kern w:val="2"/>
          <w:sz w:val="32"/>
          <w:szCs w:val="24"/>
          <w:highlight w:val="none"/>
          <w:lang w:val="en-US" w:eastAsia="zh-CN" w:bidi="ar-SA"/>
        </w:rPr>
        <w:t>2</w:t>
      </w:r>
      <w:r>
        <w:rPr>
          <w:rFonts w:hint="default" w:ascii="Times New Roman" w:hAnsi="Times New Roman" w:cs="Times New Roman"/>
          <w:b/>
          <w:color w:val="auto"/>
          <w:kern w:val="2"/>
          <w:sz w:val="32"/>
          <w:szCs w:val="24"/>
          <w:highlight w:val="none"/>
          <w:lang w:val="en-US" w:eastAsia="zh-CN" w:bidi="ar-SA"/>
        </w:rPr>
        <w:t>.</w:t>
      </w:r>
      <w:r>
        <w:rPr>
          <w:rFonts w:hint="default" w:ascii="Times New Roman" w:hAnsi="Times New Roman" w:eastAsia="仿宋" w:cs="Times New Roman"/>
          <w:b/>
          <w:color w:val="auto"/>
          <w:kern w:val="2"/>
          <w:sz w:val="32"/>
          <w:szCs w:val="24"/>
          <w:highlight w:val="none"/>
          <w:lang w:val="en-US" w:eastAsia="zh-CN" w:bidi="ar-SA"/>
        </w:rPr>
        <w:t>项目概况</w:t>
      </w:r>
      <w:bookmarkEnd w:id="36"/>
      <w:bookmarkEnd w:id="37"/>
      <w:bookmarkEnd w:id="38"/>
      <w:bookmarkEnd w:id="39"/>
      <w:bookmarkEnd w:id="40"/>
      <w:bookmarkEnd w:id="41"/>
      <w:bookmarkEnd w:id="42"/>
      <w:bookmarkEnd w:id="43"/>
      <w:bookmarkEnd w:id="44"/>
      <w:bookmarkEnd w:id="45"/>
      <w:bookmarkEnd w:id="46"/>
    </w:p>
    <w:p w14:paraId="0612F0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项目名称：</w:t>
      </w:r>
      <w:r>
        <w:rPr>
          <w:rFonts w:hint="eastAsia" w:ascii="Times New Roman" w:hAnsi="Times New Roman" w:cs="Times New Roman"/>
          <w:lang w:val="en-US" w:eastAsia="zh-CN"/>
        </w:rPr>
        <w:t>四川射洪经济开发区创新创业产业园及基础设施建设项目</w:t>
      </w:r>
    </w:p>
    <w:p w14:paraId="769908D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项目所属领域：市政和产业园区基础设施——产业园区基础设施</w:t>
      </w:r>
    </w:p>
    <w:p w14:paraId="37C3112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项目建设工期：24个月</w:t>
      </w:r>
    </w:p>
    <w:p w14:paraId="25675E4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项目区位：射洪市大榆镇</w:t>
      </w:r>
    </w:p>
    <w:p w14:paraId="0D12428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项目说明：本项目为新建工程，资产无抵押或质押情况。</w:t>
      </w:r>
    </w:p>
    <w:p w14:paraId="137C5D3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cs="Times New Roman"/>
          <w:lang w:val="en-US" w:eastAsia="zh-CN"/>
        </w:rPr>
        <w:t>主要建设内容：</w:t>
      </w:r>
      <w:r>
        <w:rPr>
          <w:rFonts w:hint="eastAsia" w:ascii="Times New Roman" w:hAnsi="Times New Roman" w:cs="Times New Roman"/>
          <w:lang w:val="en-US" w:eastAsia="zh-CN"/>
        </w:rPr>
        <w:t>建设园区高标准厂房约1.5万平方米、万众创新孵化器约4000平方米、智慧停车场（约200个停车位），配套建设园区道路、管网、消防等其他基础设施。</w:t>
      </w:r>
    </w:p>
    <w:p w14:paraId="44F7FB0D">
      <w:pPr>
        <w:numPr>
          <w:ilvl w:val="0"/>
          <w:numId w:val="0"/>
        </w:numPr>
        <w:spacing w:beforeLines="50" w:afterLines="50" w:line="360" w:lineRule="auto"/>
        <w:jc w:val="both"/>
        <w:outlineLvl w:val="0"/>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二、经济社会效益分析</w:t>
      </w:r>
      <w:bookmarkEnd w:id="31"/>
      <w:bookmarkEnd w:id="32"/>
      <w:bookmarkEnd w:id="33"/>
      <w:bookmarkEnd w:id="34"/>
      <w:bookmarkEnd w:id="35"/>
    </w:p>
    <w:p w14:paraId="14960869">
      <w:pPr>
        <w:pStyle w:val="2"/>
        <w:numPr>
          <w:ilvl w:val="1"/>
          <w:numId w:val="0"/>
        </w:numPr>
        <w:shd w:val="clear"/>
        <w:spacing w:before="156" w:beforeLines="50" w:after="156" w:afterLines="50"/>
        <w:rPr>
          <w:rFonts w:hint="default" w:ascii="Times New Roman" w:hAnsi="Times New Roman" w:eastAsia="仿宋" w:cs="Times New Roman"/>
          <w:color w:val="auto"/>
          <w:szCs w:val="28"/>
          <w:highlight w:val="none"/>
        </w:rPr>
      </w:pPr>
      <w:bookmarkStart w:id="47" w:name="_Toc24864"/>
      <w:bookmarkStart w:id="48" w:name="_Toc16063"/>
      <w:bookmarkStart w:id="49" w:name="_Toc91603759"/>
      <w:bookmarkStart w:id="50" w:name="_Toc8916"/>
      <w:bookmarkStart w:id="51" w:name="_Toc21218"/>
      <w:bookmarkStart w:id="52" w:name="_Toc6623"/>
      <w:bookmarkStart w:id="53" w:name="_Toc7721"/>
      <w:bookmarkStart w:id="54" w:name="_Toc19320"/>
      <w:r>
        <w:rPr>
          <w:rFonts w:hint="default" w:ascii="Times New Roman" w:hAnsi="Times New Roman" w:eastAsia="仿宋" w:cs="Times New Roman"/>
          <w:color w:val="auto"/>
          <w:szCs w:val="28"/>
          <w:highlight w:val="none"/>
        </w:rPr>
        <w:t>（一）经济效益</w:t>
      </w:r>
      <w:bookmarkEnd w:id="47"/>
      <w:bookmarkEnd w:id="48"/>
      <w:bookmarkEnd w:id="49"/>
      <w:bookmarkEnd w:id="50"/>
      <w:bookmarkEnd w:id="51"/>
      <w:bookmarkEnd w:id="52"/>
      <w:bookmarkEnd w:id="53"/>
    </w:p>
    <w:p w14:paraId="4C3BE5DA">
      <w:pPr>
        <w:shd w:val="clear"/>
        <w:ind w:firstLine="560"/>
        <w:rPr>
          <w:rFonts w:hint="default" w:ascii="Times New Roman" w:hAnsi="Times New Roman" w:cs="Times New Roman"/>
          <w:color w:val="auto"/>
          <w:highlight w:val="none"/>
          <w:lang w:val="en-US" w:eastAsia="zh-CN"/>
        </w:rPr>
      </w:pPr>
      <w:bookmarkStart w:id="55" w:name="_Toc31288"/>
      <w:bookmarkStart w:id="56" w:name="_Toc15224_WPSOffice_Level2"/>
      <w:bookmarkStart w:id="57" w:name="_Toc3717"/>
      <w:bookmarkStart w:id="58" w:name="_Toc2045"/>
      <w:bookmarkStart w:id="59" w:name="_Toc30219"/>
      <w:r>
        <w:rPr>
          <w:rFonts w:hint="default" w:ascii="Times New Roman" w:hAnsi="Times New Roman" w:cs="Times New Roman"/>
          <w:color w:val="auto"/>
          <w:highlight w:val="none"/>
          <w:lang w:val="en-US" w:eastAsia="zh-CN"/>
        </w:rPr>
        <w:t>射洪市坚持把特色优势产业和战略性新兴产业作为主攻方向，大力发展实体经济，提高产业链供应链现代化水平，构建优势突出、特色鲜明的现代产业体系。按照以人为本、适度超前、绿色安全、智慧发展的原则，高标准谋划实施一批打基础、利长远的交通、水利、能源、信息等基础设施项目，进一步扩大规模、补足短板、提升层次、完善网络，有效支撑经济社会发展重大战略实施。</w:t>
      </w:r>
    </w:p>
    <w:p w14:paraId="0641DD96">
      <w:pPr>
        <w:shd w:val="clear"/>
        <w:ind w:firstLine="56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本项目实施后，将进一步提升射洪经济开发区产业园区基础设施现代化水平，完善现代化产业体系，吸引更多优质企业入驻，壮大产业规模，直接增加地方财政预算收入。其次，项目的建设将为当地技术产业延续不断升级、提高生产力水平提供坚实保障，提升有效投资规模，使城市建设符合科学发展和可持续发展的要求，促进当地经济不断发展。产业园区高标准厂房的建设满足日益增多的各类创业型中小企业的发展需求。项目的实施也为城市发展提供交通便利，满足安全、便捷、通畅、高效的交通服务要求，促进城市高效运行，为当地经济高质量发展做出贡献。</w:t>
      </w:r>
    </w:p>
    <w:p w14:paraId="7CBDA6E4">
      <w:pPr>
        <w:shd w:val="clear"/>
        <w:ind w:firstLine="56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因此，本项目具有良好的经济收益。</w:t>
      </w:r>
    </w:p>
    <w:p w14:paraId="0007A773">
      <w:pPr>
        <w:pStyle w:val="2"/>
        <w:keepNext/>
        <w:numPr>
          <w:ilvl w:val="0"/>
          <w:numId w:val="3"/>
        </w:numPr>
        <w:shd w:val="clear"/>
        <w:spacing w:before="156" w:beforeLines="50" w:after="156" w:afterLines="50"/>
        <w:rPr>
          <w:rFonts w:hint="default" w:ascii="Times New Roman" w:hAnsi="Times New Roman" w:eastAsia="仿宋" w:cs="Times New Roman"/>
          <w:color w:val="auto"/>
          <w:szCs w:val="28"/>
          <w:highlight w:val="none"/>
        </w:rPr>
      </w:pPr>
      <w:bookmarkStart w:id="60" w:name="_Toc91603760"/>
      <w:bookmarkStart w:id="61" w:name="_Toc4888"/>
      <w:bookmarkStart w:id="62" w:name="_Toc19098"/>
      <w:bookmarkStart w:id="63" w:name="_Toc16255"/>
      <w:r>
        <w:rPr>
          <w:rFonts w:hint="default" w:ascii="Times New Roman" w:hAnsi="Times New Roman" w:eastAsia="仿宋" w:cs="Times New Roman"/>
          <w:color w:val="auto"/>
          <w:szCs w:val="28"/>
          <w:highlight w:val="none"/>
        </w:rPr>
        <w:t>社会效益</w:t>
      </w:r>
      <w:bookmarkEnd w:id="55"/>
      <w:bookmarkEnd w:id="56"/>
      <w:bookmarkEnd w:id="57"/>
      <w:bookmarkEnd w:id="58"/>
      <w:bookmarkEnd w:id="59"/>
      <w:bookmarkEnd w:id="60"/>
      <w:bookmarkEnd w:id="61"/>
      <w:bookmarkEnd w:id="62"/>
      <w:bookmarkEnd w:id="63"/>
    </w:p>
    <w:p w14:paraId="48D93D08">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（1）促进智能化厂房快速发展</w:t>
      </w:r>
    </w:p>
    <w:p w14:paraId="3A4C48A7">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为加快射洪经济开发区产业结构优化升级，大力推进标准厂房智能化进程，就必须通过大项目机遇来壮大规模、提高智能化厂房生产总值占经济生产总值比重，才能借机达到不断优化布局，提升产业综合竞争力的目的。项目建成后，必将带动相关产业群的相互支撑，提升传统产业的技术装备和生产水平，促进形成协调发展的格局，推动形成产业集群和循环经济。项目建成投产后，将推进区域经济发展的集聚效应，进一步拉动生产要素在区域间自由流动和优化配置，形成分工合理、主业突出、比较优势得以发挥的区域产业结构，促进区域经济协调发展。</w:t>
      </w:r>
    </w:p>
    <w:p w14:paraId="078998F1">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（2）加快当地高新技术产业发展</w:t>
      </w:r>
    </w:p>
    <w:p w14:paraId="3C4C1098">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高新技术产业引领发展方式转变的示范作用日益突出。项目的建设将对当地进一步加强科技创新并不断调整优化产业结构起到积极作用，将大力发展低消耗、低排放、高效益的高新技术产业，着力改造提升传统支柱产业，着眼市场需求和产业发展方向，研发具有自主知识产权和市场竞争力的重大战略产品，提升重点产业的核心竞争力，推进节能减排和环境保护，为当地经济社会发展方式转变发挥示范带头作用。</w:t>
      </w:r>
    </w:p>
    <w:p w14:paraId="301ADF30">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（3）助力新兴产业拉动经济增长</w:t>
      </w:r>
    </w:p>
    <w:p w14:paraId="4E044C65">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新兴产业以重大技术突破和重大发展需求为基础，对经济社会全局和长远发展重大引领带动作用，知识技术密集、物质资源消耗少、成长潜力大、综合效益好的产业。智能化厂房产业作为新一代信息技术产业的重要组成部分，具有广阔的发展前景，对于国民经济和社会发展具有重要意义。</w:t>
      </w:r>
    </w:p>
    <w:p w14:paraId="4695E059">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因此，本项目具有良好的社会收益。</w:t>
      </w:r>
    </w:p>
    <w:p w14:paraId="0AA071A2">
      <w:pPr>
        <w:numPr>
          <w:ilvl w:val="0"/>
          <w:numId w:val="0"/>
        </w:numPr>
        <w:spacing w:beforeLines="50" w:afterLines="50" w:line="360" w:lineRule="auto"/>
        <w:jc w:val="both"/>
        <w:outlineLvl w:val="0"/>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三、项目投资估算与资金筹措方案</w:t>
      </w:r>
      <w:bookmarkEnd w:id="54"/>
    </w:p>
    <w:p w14:paraId="13089719">
      <w:pPr>
        <w:spacing w:beforeLines="50" w:afterLines="50" w:line="360" w:lineRule="auto"/>
        <w:outlineLvl w:val="1"/>
        <w:rPr>
          <w:rFonts w:hint="default" w:ascii="Times New Roman" w:hAnsi="Times New Roman" w:eastAsia="仿宋" w:cs="Times New Roman"/>
          <w:b/>
          <w:bCs/>
          <w:sz w:val="32"/>
          <w:szCs w:val="32"/>
        </w:rPr>
      </w:pPr>
      <w:bookmarkStart w:id="64" w:name="_Toc523157062"/>
      <w:bookmarkStart w:id="65" w:name="_Toc522211078"/>
      <w:bookmarkStart w:id="66" w:name="_Toc533440335"/>
      <w:bookmarkStart w:id="67" w:name="_Toc5108"/>
      <w:bookmarkStart w:id="68" w:name="_Toc523481542"/>
      <w:bookmarkStart w:id="69" w:name="_Toc1720145"/>
      <w:r>
        <w:rPr>
          <w:rFonts w:hint="default" w:ascii="Times New Roman" w:hAnsi="Times New Roman" w:eastAsia="仿宋" w:cs="Times New Roman"/>
          <w:b/>
          <w:bCs/>
          <w:sz w:val="32"/>
          <w:szCs w:val="32"/>
        </w:rPr>
        <w:t>（一）投资估算</w:t>
      </w:r>
      <w:bookmarkEnd w:id="64"/>
      <w:bookmarkEnd w:id="65"/>
      <w:bookmarkEnd w:id="66"/>
      <w:bookmarkEnd w:id="67"/>
      <w:bookmarkEnd w:id="68"/>
      <w:bookmarkEnd w:id="69"/>
    </w:p>
    <w:p w14:paraId="7F5A0819">
      <w:pPr>
        <w:spacing w:beforeLines="50" w:afterLines="50" w:line="360" w:lineRule="auto"/>
        <w:ind w:firstLine="560" w:firstLineChars="200"/>
        <w:outlineLvl w:val="9"/>
        <w:rPr>
          <w:rFonts w:hint="default" w:ascii="Times New Roman" w:hAnsi="Times New Roman" w:eastAsia="仿宋" w:cs="Times New Roman"/>
          <w:sz w:val="28"/>
          <w:szCs w:val="28"/>
        </w:rPr>
      </w:pPr>
      <w:bookmarkStart w:id="70" w:name="_Toc23109"/>
      <w:r>
        <w:rPr>
          <w:rFonts w:hint="default" w:ascii="Times New Roman" w:hAnsi="Times New Roman" w:eastAsia="仿宋" w:cs="Times New Roman"/>
          <w:color w:val="auto"/>
          <w:kern w:val="2"/>
          <w:szCs w:val="24"/>
          <w:highlight w:val="none"/>
          <w:lang w:val="en-US"/>
        </w:rPr>
        <w:t>本项目建设动态投资总额</w:t>
      </w:r>
      <w:r>
        <w:rPr>
          <w:rFonts w:hint="eastAsia" w:ascii="Times New Roman" w:hAnsi="Times New Roman" w:cs="Times New Roman"/>
          <w:color w:val="auto"/>
          <w:kern w:val="2"/>
          <w:szCs w:val="24"/>
          <w:highlight w:val="none"/>
          <w:lang w:val="en-US" w:eastAsia="zh-CN"/>
        </w:rPr>
        <w:t>18000.00</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，其中，建安工程费</w:t>
      </w:r>
      <w:r>
        <w:rPr>
          <w:rFonts w:hint="eastAsia" w:ascii="Times New Roman" w:hAnsi="Times New Roman" w:cs="Times New Roman"/>
          <w:color w:val="auto"/>
          <w:kern w:val="2"/>
          <w:szCs w:val="24"/>
          <w:highlight w:val="none"/>
          <w:lang w:val="en-US" w:eastAsia="zh-CN"/>
        </w:rPr>
        <w:t>13601.28</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，工程建设其他费用</w:t>
      </w:r>
      <w:r>
        <w:rPr>
          <w:rFonts w:hint="eastAsia" w:ascii="Times New Roman" w:hAnsi="Times New Roman" w:cs="Times New Roman"/>
          <w:color w:val="auto"/>
          <w:kern w:val="2"/>
          <w:szCs w:val="24"/>
          <w:highlight w:val="none"/>
          <w:lang w:val="en-US" w:eastAsia="zh-CN"/>
        </w:rPr>
        <w:t>2618.82</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，基本预备费</w:t>
      </w:r>
      <w:r>
        <w:rPr>
          <w:rFonts w:hint="eastAsia" w:ascii="Times New Roman" w:hAnsi="Times New Roman" w:cs="Times New Roman"/>
          <w:color w:val="auto"/>
          <w:kern w:val="2"/>
          <w:szCs w:val="24"/>
          <w:highlight w:val="none"/>
          <w:lang w:val="en-US" w:eastAsia="zh-CN"/>
        </w:rPr>
        <w:t>1144.70</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。建设期利息</w:t>
      </w:r>
      <w:r>
        <w:rPr>
          <w:rFonts w:hint="default" w:ascii="Times New Roman" w:hAnsi="Times New Roman" w:eastAsia="仿宋" w:cs="Times New Roman"/>
          <w:color w:val="auto"/>
          <w:kern w:val="2"/>
          <w:szCs w:val="24"/>
          <w:highlight w:val="none"/>
          <w:lang w:val="en-US" w:eastAsia="zh-CN"/>
        </w:rPr>
        <w:t>共计</w:t>
      </w:r>
      <w:r>
        <w:rPr>
          <w:rFonts w:hint="eastAsia" w:ascii="Times New Roman" w:hAnsi="Times New Roman" w:cs="Times New Roman"/>
          <w:color w:val="auto"/>
          <w:kern w:val="2"/>
          <w:szCs w:val="24"/>
          <w:highlight w:val="none"/>
          <w:lang w:val="en-US" w:eastAsia="zh-CN"/>
        </w:rPr>
        <w:t>620.80</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w:t>
      </w:r>
      <w:r>
        <w:rPr>
          <w:rFonts w:hint="default" w:ascii="Times New Roman" w:hAnsi="Times New Roman" w:eastAsia="仿宋" w:cs="Times New Roman"/>
          <w:color w:val="auto"/>
          <w:kern w:val="2"/>
          <w:szCs w:val="24"/>
          <w:highlight w:val="none"/>
          <w:lang w:val="en-US" w:eastAsia="zh-CN"/>
        </w:rPr>
        <w:t>发行费用</w:t>
      </w:r>
      <w:r>
        <w:rPr>
          <w:rFonts w:hint="eastAsia" w:ascii="Times New Roman" w:hAnsi="Times New Roman" w:cs="Times New Roman"/>
          <w:color w:val="auto"/>
          <w:kern w:val="2"/>
          <w:szCs w:val="24"/>
          <w:highlight w:val="none"/>
          <w:lang w:val="en-US" w:eastAsia="zh-CN"/>
        </w:rPr>
        <w:t>14.40</w:t>
      </w:r>
      <w:r>
        <w:rPr>
          <w:rFonts w:hint="default" w:ascii="Times New Roman" w:hAnsi="Times New Roman" w:eastAsia="仿宋" w:cs="Times New Roman"/>
          <w:color w:val="auto"/>
          <w:kern w:val="2"/>
          <w:szCs w:val="24"/>
          <w:highlight w:val="none"/>
          <w:lang w:val="en-US" w:eastAsia="zh-CN"/>
        </w:rPr>
        <w:t>万元</w:t>
      </w:r>
      <w:r>
        <w:rPr>
          <w:rFonts w:hint="default" w:ascii="Times New Roman" w:hAnsi="Times New Roman" w:eastAsia="仿宋" w:cs="Times New Roman"/>
          <w:color w:val="auto"/>
          <w:kern w:val="2"/>
          <w:szCs w:val="24"/>
          <w:highlight w:val="none"/>
          <w:lang w:val="en-US"/>
        </w:rPr>
        <w:t>。</w:t>
      </w:r>
    </w:p>
    <w:p w14:paraId="53EDE483">
      <w:pPr>
        <w:spacing w:beforeLines="50" w:afterLines="50" w:line="360" w:lineRule="auto"/>
        <w:outlineLvl w:val="1"/>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（二）资金筹措方案</w:t>
      </w:r>
      <w:bookmarkEnd w:id="70"/>
    </w:p>
    <w:p w14:paraId="73FA8E8D">
      <w:pPr>
        <w:pStyle w:val="4"/>
        <w:numPr>
          <w:ilvl w:val="0"/>
          <w:numId w:val="0"/>
        </w:numPr>
        <w:shd w:val="clear"/>
        <w:ind w:leftChars="20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lang w:val="en-US" w:eastAsia="zh-CN"/>
        </w:rPr>
        <w:t xml:space="preserve">1. </w:t>
      </w:r>
      <w:r>
        <w:rPr>
          <w:rFonts w:hint="default" w:ascii="Times New Roman" w:hAnsi="Times New Roman" w:eastAsia="仿宋" w:cs="Times New Roman"/>
          <w:color w:val="auto"/>
          <w:highlight w:val="none"/>
        </w:rPr>
        <w:t>资本金来源</w:t>
      </w:r>
    </w:p>
    <w:p w14:paraId="32801AB7">
      <w:pPr>
        <w:shd w:val="clear"/>
        <w:ind w:firstLine="560"/>
        <w:rPr>
          <w:rFonts w:hint="default" w:ascii="Times New Roman" w:hAnsi="Times New Roman" w:eastAsia="仿宋" w:cs="Times New Roman"/>
          <w:color w:val="auto"/>
          <w:szCs w:val="28"/>
          <w:highlight w:val="none"/>
        </w:rPr>
      </w:pPr>
      <w:r>
        <w:rPr>
          <w:rFonts w:hint="default" w:ascii="Times New Roman" w:hAnsi="Times New Roman" w:eastAsia="仿宋" w:cs="Times New Roman"/>
          <w:color w:val="auto"/>
          <w:szCs w:val="28"/>
          <w:highlight w:val="none"/>
        </w:rPr>
        <w:t>本项目</w:t>
      </w:r>
      <w:r>
        <w:rPr>
          <w:rFonts w:hint="default" w:ascii="Times New Roman" w:hAnsi="Times New Roman" w:cs="Times New Roman"/>
          <w:color w:val="auto"/>
          <w:szCs w:val="28"/>
          <w:highlight w:val="none"/>
          <w:lang w:eastAsia="zh-CN"/>
        </w:rPr>
        <w:t>资本金为</w:t>
      </w:r>
      <w:r>
        <w:rPr>
          <w:rFonts w:hint="eastAsia" w:ascii="Times New Roman" w:hAnsi="Times New Roman" w:cs="Times New Roman"/>
          <w:color w:val="auto"/>
          <w:szCs w:val="28"/>
          <w:highlight w:val="none"/>
          <w:lang w:val="en-US" w:eastAsia="zh-CN"/>
        </w:rPr>
        <w:t>3600.00</w:t>
      </w:r>
      <w:r>
        <w:rPr>
          <w:rFonts w:hint="default" w:ascii="Times New Roman" w:hAnsi="Times New Roman" w:cs="Times New Roman"/>
          <w:color w:val="auto"/>
          <w:szCs w:val="28"/>
          <w:highlight w:val="none"/>
          <w:lang w:eastAsia="zh-CN"/>
        </w:rPr>
        <w:t>万元</w:t>
      </w:r>
      <w:r>
        <w:rPr>
          <w:rFonts w:hint="default" w:ascii="Times New Roman" w:hAnsi="Times New Roman" w:eastAsia="仿宋" w:cs="Times New Roman"/>
          <w:color w:val="auto"/>
          <w:szCs w:val="28"/>
          <w:highlight w:val="none"/>
        </w:rPr>
        <w:t>，</w:t>
      </w:r>
      <w:r>
        <w:rPr>
          <w:rFonts w:hint="default" w:ascii="Times New Roman" w:hAnsi="Times New Roman" w:cs="Times New Roman"/>
          <w:color w:val="auto"/>
          <w:szCs w:val="28"/>
          <w:highlight w:val="none"/>
          <w:lang w:eastAsia="zh-CN"/>
        </w:rPr>
        <w:t>占总投资的20.00%</w:t>
      </w:r>
      <w:r>
        <w:rPr>
          <w:rFonts w:hint="default" w:ascii="Times New Roman" w:hAnsi="Times New Roman" w:eastAsia="仿宋" w:cs="Times New Roman"/>
          <w:color w:val="auto"/>
          <w:szCs w:val="28"/>
          <w:highlight w:val="none"/>
        </w:rPr>
        <w:t>，资本金来源于</w:t>
      </w:r>
      <w:r>
        <w:rPr>
          <w:rFonts w:hint="default" w:ascii="Times New Roman" w:hAnsi="Times New Roman" w:cs="Times New Roman"/>
          <w:color w:val="auto"/>
          <w:kern w:val="2"/>
          <w:szCs w:val="24"/>
          <w:highlight w:val="none"/>
          <w:lang w:val="en-US" w:eastAsia="zh-CN"/>
        </w:rPr>
        <w:t>财政资金</w:t>
      </w:r>
      <w:r>
        <w:rPr>
          <w:rFonts w:hint="default" w:ascii="Times New Roman" w:hAnsi="Times New Roman" w:eastAsia="仿宋" w:cs="Times New Roman"/>
          <w:color w:val="auto"/>
          <w:szCs w:val="28"/>
          <w:highlight w:val="none"/>
        </w:rPr>
        <w:t>，将按照项目进度及时拨付到位。</w:t>
      </w:r>
    </w:p>
    <w:p w14:paraId="7CEAD14A">
      <w:pPr>
        <w:pStyle w:val="4"/>
        <w:numPr>
          <w:ilvl w:val="0"/>
          <w:numId w:val="0"/>
        </w:numPr>
        <w:shd w:val="clear"/>
        <w:ind w:leftChars="20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lang w:val="en-US" w:eastAsia="zh-CN"/>
        </w:rPr>
        <w:t xml:space="preserve">2. </w:t>
      </w:r>
      <w:r>
        <w:rPr>
          <w:rFonts w:hint="default" w:ascii="Times New Roman" w:hAnsi="Times New Roman" w:eastAsia="仿宋" w:cs="Times New Roman"/>
          <w:color w:val="auto"/>
          <w:highlight w:val="none"/>
        </w:rPr>
        <w:t>融资来源</w:t>
      </w:r>
    </w:p>
    <w:p w14:paraId="02B4ECAC">
      <w:pPr>
        <w:spacing w:beforeLines="50" w:afterLines="50" w:line="360" w:lineRule="auto"/>
        <w:ind w:firstLine="560" w:firstLineChars="200"/>
        <w:jc w:val="both"/>
        <w:outlineLvl w:val="9"/>
        <w:rPr>
          <w:rFonts w:hint="default" w:ascii="Times New Roman" w:hAnsi="Times New Roman" w:eastAsia="仿宋" w:cs="Times New Roman"/>
          <w:color w:val="auto"/>
          <w:kern w:val="2"/>
          <w:sz w:val="28"/>
          <w:szCs w:val="28"/>
          <w:lang w:val="en-US" w:eastAsia="zh-CN"/>
        </w:rPr>
      </w:pPr>
      <w:r>
        <w:rPr>
          <w:rFonts w:hint="default" w:ascii="Times New Roman" w:hAnsi="Times New Roman" w:eastAsia="仿宋" w:cs="Times New Roman"/>
          <w:color w:val="auto"/>
          <w:szCs w:val="28"/>
          <w:highlight w:val="none"/>
        </w:rPr>
        <w:t>本项目拟发行专项债券总额</w:t>
      </w:r>
      <w:r>
        <w:rPr>
          <w:rFonts w:hint="eastAsia" w:ascii="Times New Roman" w:hAnsi="Times New Roman" w:cs="Times New Roman"/>
          <w:color w:val="auto"/>
          <w:szCs w:val="28"/>
          <w:highlight w:val="none"/>
          <w:lang w:val="en-US" w:eastAsia="zh-CN"/>
        </w:rPr>
        <w:t>14400.00</w:t>
      </w:r>
      <w:r>
        <w:rPr>
          <w:rFonts w:hint="default" w:ascii="Times New Roman" w:hAnsi="Times New Roman" w:cs="Times New Roman"/>
          <w:color w:val="auto"/>
          <w:szCs w:val="28"/>
          <w:highlight w:val="none"/>
          <w:lang w:val="en-US" w:eastAsia="zh-CN"/>
        </w:rPr>
        <w:t>万元</w:t>
      </w:r>
      <w:r>
        <w:rPr>
          <w:rFonts w:hint="default" w:ascii="Times New Roman" w:hAnsi="Times New Roman" w:eastAsia="仿宋" w:cs="Times New Roman"/>
          <w:color w:val="auto"/>
          <w:szCs w:val="28"/>
          <w:highlight w:val="none"/>
        </w:rPr>
        <w:t>，占总投资的</w:t>
      </w:r>
      <w:r>
        <w:rPr>
          <w:rFonts w:hint="default" w:ascii="Times New Roman" w:hAnsi="Times New Roman" w:cs="Times New Roman"/>
          <w:color w:val="auto"/>
          <w:szCs w:val="28"/>
          <w:highlight w:val="none"/>
          <w:lang w:val="en-US" w:eastAsia="zh-CN"/>
        </w:rPr>
        <w:t>80.00%</w:t>
      </w:r>
      <w:r>
        <w:rPr>
          <w:rFonts w:hint="default" w:ascii="Times New Roman" w:hAnsi="Times New Roman" w:eastAsia="仿宋" w:cs="Times New Roman"/>
          <w:color w:val="auto"/>
          <w:szCs w:val="28"/>
          <w:highlight w:val="none"/>
        </w:rPr>
        <w:t>，其中：</w:t>
      </w:r>
      <w:r>
        <w:rPr>
          <w:rFonts w:hint="default" w:ascii="Times New Roman" w:hAnsi="Times New Roman" w:eastAsia="仿宋" w:cs="Times New Roman"/>
          <w:color w:val="auto"/>
          <w:szCs w:val="28"/>
          <w:highlight w:val="none"/>
          <w:lang w:val="en-US" w:eastAsia="zh-CN"/>
        </w:rPr>
        <w:t>第1年</w:t>
      </w:r>
      <w:r>
        <w:rPr>
          <w:rFonts w:hint="default" w:ascii="Times New Roman" w:hAnsi="Times New Roman" w:eastAsia="仿宋" w:cs="Times New Roman"/>
          <w:color w:val="auto"/>
          <w:szCs w:val="28"/>
          <w:highlight w:val="none"/>
        </w:rPr>
        <w:t>申请发行专项债券</w:t>
      </w:r>
      <w:r>
        <w:rPr>
          <w:rFonts w:hint="eastAsia" w:ascii="Times New Roman" w:hAnsi="Times New Roman" w:cs="Times New Roman"/>
          <w:color w:val="auto"/>
          <w:szCs w:val="28"/>
          <w:highlight w:val="none"/>
          <w:lang w:val="en-US" w:eastAsia="zh-CN"/>
        </w:rPr>
        <w:t>15</w:t>
      </w:r>
      <w:r>
        <w:rPr>
          <w:rFonts w:hint="default" w:ascii="Times New Roman" w:hAnsi="Times New Roman" w:cs="Times New Roman"/>
          <w:color w:val="auto"/>
          <w:szCs w:val="28"/>
          <w:highlight w:val="none"/>
          <w:lang w:val="en-US" w:eastAsia="zh-CN"/>
        </w:rPr>
        <w:t>00.00万元</w:t>
      </w:r>
      <w:r>
        <w:rPr>
          <w:rFonts w:hint="default" w:ascii="Times New Roman" w:hAnsi="Times New Roman" w:eastAsia="仿宋" w:cs="Times New Roman"/>
          <w:color w:val="auto"/>
          <w:szCs w:val="28"/>
          <w:highlight w:val="none"/>
        </w:rPr>
        <w:t>，</w:t>
      </w:r>
      <w:r>
        <w:rPr>
          <w:rFonts w:hint="default" w:ascii="Times New Roman" w:hAnsi="Times New Roman" w:eastAsia="仿宋" w:cs="Times New Roman"/>
          <w:color w:val="auto"/>
          <w:szCs w:val="28"/>
          <w:highlight w:val="none"/>
          <w:lang w:val="en-US" w:eastAsia="zh-CN"/>
        </w:rPr>
        <w:t>第2</w:t>
      </w:r>
      <w:r>
        <w:rPr>
          <w:rFonts w:hint="default" w:ascii="Times New Roman" w:hAnsi="Times New Roman" w:eastAsia="仿宋" w:cs="Times New Roman"/>
          <w:color w:val="auto"/>
          <w:szCs w:val="28"/>
          <w:highlight w:val="none"/>
        </w:rPr>
        <w:t>年申请发行专项债券</w:t>
      </w:r>
      <w:r>
        <w:rPr>
          <w:rFonts w:hint="eastAsia" w:ascii="Times New Roman" w:hAnsi="Times New Roman" w:cs="Times New Roman"/>
          <w:color w:val="auto"/>
          <w:szCs w:val="28"/>
          <w:highlight w:val="none"/>
          <w:lang w:val="en-US" w:eastAsia="zh-CN"/>
        </w:rPr>
        <w:t>129</w:t>
      </w:r>
      <w:r>
        <w:rPr>
          <w:rFonts w:hint="default" w:ascii="Times New Roman" w:hAnsi="Times New Roman" w:cs="Times New Roman"/>
          <w:color w:val="auto"/>
          <w:szCs w:val="28"/>
          <w:highlight w:val="none"/>
          <w:lang w:val="en-US" w:eastAsia="zh-CN"/>
        </w:rPr>
        <w:t>00.00万元</w:t>
      </w:r>
      <w:r>
        <w:rPr>
          <w:rFonts w:hint="default" w:ascii="Times New Roman" w:hAnsi="Times New Roman" w:eastAsia="仿宋" w:cs="Times New Roman"/>
          <w:color w:val="auto"/>
          <w:szCs w:val="28"/>
          <w:highlight w:val="none"/>
        </w:rPr>
        <w:t>。发行债券期限为</w:t>
      </w:r>
      <w:r>
        <w:rPr>
          <w:rFonts w:hint="default" w:ascii="Times New Roman" w:hAnsi="Times New Roman" w:cs="Times New Roman"/>
          <w:color w:val="auto"/>
          <w:szCs w:val="28"/>
          <w:highlight w:val="none"/>
          <w:lang w:val="en-US" w:eastAsia="zh-CN"/>
        </w:rPr>
        <w:t>30</w:t>
      </w:r>
      <w:r>
        <w:rPr>
          <w:rFonts w:hint="default" w:ascii="Times New Roman" w:hAnsi="Times New Roman" w:eastAsia="仿宋" w:cs="Times New Roman"/>
          <w:color w:val="auto"/>
          <w:szCs w:val="28"/>
          <w:highlight w:val="none"/>
        </w:rPr>
        <w:t>年，债券利率按</w:t>
      </w:r>
      <w:r>
        <w:rPr>
          <w:rFonts w:hint="default" w:ascii="Times New Roman" w:hAnsi="Times New Roman" w:cs="Times New Roman"/>
          <w:color w:val="auto"/>
          <w:szCs w:val="28"/>
          <w:highlight w:val="none"/>
          <w:lang w:val="en-US" w:eastAsia="zh-CN"/>
        </w:rPr>
        <w:t>3.</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0%</w:t>
      </w:r>
      <w:r>
        <w:rPr>
          <w:rFonts w:hint="default" w:ascii="Times New Roman" w:hAnsi="Times New Roman" w:eastAsia="仿宋" w:cs="Times New Roman"/>
          <w:color w:val="auto"/>
          <w:szCs w:val="28"/>
          <w:highlight w:val="none"/>
        </w:rPr>
        <w:t>测算，发行费用为面值的1‰</w:t>
      </w:r>
      <w:r>
        <w:rPr>
          <w:rFonts w:hint="default" w:ascii="Times New Roman" w:hAnsi="Times New Roman" w:cs="Times New Roman"/>
          <w:color w:val="auto"/>
          <w:szCs w:val="28"/>
          <w:highlight w:val="none"/>
          <w:lang w:eastAsia="zh-CN"/>
        </w:rPr>
        <w:t>。</w:t>
      </w:r>
    </w:p>
    <w:p w14:paraId="32B1A628">
      <w:pPr>
        <w:numPr>
          <w:ilvl w:val="0"/>
          <w:numId w:val="0"/>
        </w:numPr>
        <w:spacing w:before="240" w:after="120"/>
        <w:ind w:leftChars="0" w:firstLine="643" w:firstLineChars="200"/>
        <w:outlineLvl w:val="2"/>
        <w:rPr>
          <w:rFonts w:hint="default" w:ascii="Times New Roman" w:hAnsi="Times New Roman" w:eastAsia="仿宋" w:cs="Times New Roman"/>
          <w:b/>
          <w:bCs/>
          <w:sz w:val="32"/>
          <w:szCs w:val="32"/>
        </w:rPr>
      </w:pPr>
      <w:bookmarkStart w:id="71" w:name="_Toc533440342"/>
      <w:bookmarkStart w:id="72" w:name="_Toc523481549"/>
      <w:bookmarkStart w:id="73" w:name="_Toc523157069"/>
      <w:bookmarkStart w:id="74" w:name="_Toc1720152"/>
      <w:bookmarkStart w:id="75" w:name="_Toc25776"/>
      <w:r>
        <w:rPr>
          <w:rFonts w:hint="default" w:ascii="Times New Roman" w:hAnsi="Times New Roman" w:eastAsia="仿宋" w:cs="Times New Roman"/>
          <w:b/>
          <w:bCs/>
          <w:sz w:val="32"/>
          <w:szCs w:val="32"/>
          <w:lang w:val="en-US" w:eastAsia="zh-CN"/>
        </w:rPr>
        <w:t>2.</w:t>
      </w:r>
      <w:r>
        <w:rPr>
          <w:rFonts w:hint="default" w:ascii="Times New Roman" w:hAnsi="Times New Roman" w:eastAsia="仿宋" w:cs="Times New Roman"/>
          <w:b/>
          <w:bCs/>
          <w:sz w:val="32"/>
          <w:szCs w:val="32"/>
        </w:rPr>
        <w:t>资金使用计划</w:t>
      </w:r>
      <w:bookmarkEnd w:id="71"/>
      <w:bookmarkEnd w:id="72"/>
      <w:bookmarkEnd w:id="73"/>
      <w:bookmarkEnd w:id="74"/>
      <w:bookmarkEnd w:id="75"/>
    </w:p>
    <w:p w14:paraId="24C790EE">
      <w:pPr>
        <w:spacing w:beforeLines="50" w:afterLines="50" w:line="360" w:lineRule="auto"/>
        <w:ind w:firstLine="560" w:firstLineChars="200"/>
        <w:jc w:val="both"/>
        <w:outlineLvl w:val="9"/>
        <w:rPr>
          <w:rFonts w:hint="default" w:ascii="Times New Roman" w:hAnsi="Times New Roman" w:eastAsia="仿宋" w:cs="Times New Roman"/>
          <w:color w:val="auto"/>
          <w:kern w:val="2"/>
          <w:sz w:val="28"/>
          <w:szCs w:val="28"/>
          <w:lang w:val="en-US" w:eastAsia="zh-CN"/>
        </w:rPr>
      </w:pPr>
      <w:bookmarkStart w:id="76" w:name="_Toc9196"/>
      <w:r>
        <w:rPr>
          <w:rFonts w:hint="default" w:ascii="Times New Roman" w:hAnsi="Times New Roman" w:eastAsia="仿宋" w:cs="Times New Roman"/>
          <w:color w:val="auto"/>
          <w:kern w:val="2"/>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448847E9">
      <w:pPr>
        <w:spacing w:beforeLines="50" w:afterLines="50" w:line="360" w:lineRule="auto"/>
        <w:jc w:val="both"/>
        <w:outlineLvl w:val="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四、项目预期收益、成本及融资平衡情况</w:t>
      </w:r>
      <w:bookmarkEnd w:id="76"/>
    </w:p>
    <w:p w14:paraId="18DF8B23">
      <w:pPr>
        <w:spacing w:beforeLines="50" w:afterLines="50" w:line="360" w:lineRule="auto"/>
        <w:outlineLvl w:val="1"/>
        <w:rPr>
          <w:rFonts w:hint="default" w:ascii="Times New Roman" w:hAnsi="Times New Roman" w:eastAsia="仿宋" w:cs="Times New Roman"/>
          <w:b/>
          <w:bCs/>
          <w:sz w:val="32"/>
          <w:szCs w:val="32"/>
        </w:rPr>
      </w:pPr>
      <w:bookmarkStart w:id="77" w:name="_Toc523481552"/>
      <w:bookmarkStart w:id="78" w:name="_Toc522211088"/>
      <w:bookmarkStart w:id="79" w:name="_Toc523157072"/>
      <w:bookmarkStart w:id="80" w:name="_Toc1720155"/>
      <w:bookmarkStart w:id="81" w:name="_Toc533440345"/>
      <w:bookmarkStart w:id="82" w:name="_Toc27170"/>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预期收益</w:t>
      </w:r>
      <w:bookmarkEnd w:id="77"/>
      <w:bookmarkEnd w:id="78"/>
      <w:bookmarkEnd w:id="79"/>
      <w:bookmarkEnd w:id="80"/>
      <w:bookmarkEnd w:id="81"/>
      <w:bookmarkEnd w:id="82"/>
    </w:p>
    <w:p w14:paraId="25B4DB49">
      <w:pPr>
        <w:spacing w:beforeLines="50" w:afterLines="50" w:line="360" w:lineRule="auto"/>
        <w:ind w:firstLine="643" w:firstLineChars="200"/>
        <w:outlineLvl w:val="2"/>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1.项目收入预测</w:t>
      </w:r>
    </w:p>
    <w:p w14:paraId="2E14264D">
      <w:pPr>
        <w:keepNext w:val="0"/>
        <w:keepLines w:val="0"/>
        <w:pageBreakBefore w:val="0"/>
        <w:widowControl w:val="0"/>
        <w:numPr>
          <w:ilvl w:val="0"/>
          <w:numId w:val="0"/>
        </w:numPr>
        <w:shd w:val="clear"/>
        <w:tabs>
          <w:tab w:val="left" w:pos="3285"/>
        </w:tabs>
        <w:kinsoku/>
        <w:wordWrap/>
        <w:overflowPunct/>
        <w:topLinePunct w:val="0"/>
        <w:autoSpaceDE/>
        <w:autoSpaceDN/>
        <w:bidi w:val="0"/>
        <w:adjustRightInd/>
        <w:snapToGrid/>
        <w:spacing w:line="360" w:lineRule="auto"/>
        <w:ind w:firstLine="562" w:firstLineChars="200"/>
        <w:textAlignment w:val="auto"/>
        <w:outlineLvl w:val="9"/>
        <w:rPr>
          <w:rStyle w:val="27"/>
          <w:rFonts w:hint="default" w:ascii="Times New Roman" w:hAnsi="Times New Roman" w:eastAsia="仿宋" w:cs="Times New Roman"/>
          <w:b/>
          <w:bCs/>
          <w:caps w:val="0"/>
          <w:kern w:val="0"/>
          <w:sz w:val="28"/>
          <w:szCs w:val="28"/>
          <w:lang w:val="en-US" w:eastAsia="zh-CN" w:bidi="ar-SA"/>
        </w:rPr>
      </w:pPr>
      <w:r>
        <w:rPr>
          <w:rStyle w:val="27"/>
          <w:rFonts w:hint="default" w:ascii="Times New Roman" w:hAnsi="Times New Roman" w:cs="Times New Roman"/>
          <w:b/>
          <w:bCs/>
          <w:lang w:val="en-US" w:eastAsia="zh-CN"/>
        </w:rPr>
        <w:t>项目收入来源：</w:t>
      </w:r>
      <w:r>
        <w:rPr>
          <w:rFonts w:hint="default" w:ascii="Times New Roman" w:hAnsi="Times New Roman" w:cs="Times New Roman"/>
          <w:b w:val="0"/>
          <w:bCs w:val="0"/>
          <w:i w:val="0"/>
          <w:iCs w:val="0"/>
          <w:color w:val="auto"/>
          <w:kern w:val="0"/>
          <w:sz w:val="28"/>
          <w:szCs w:val="28"/>
          <w:highlight w:val="none"/>
          <w:lang w:val="en-US" w:eastAsia="zh-CN" w:bidi="ar"/>
        </w:rPr>
        <w:t>桑果种植收入、蚕茧收入、仓储设施出租收入</w:t>
      </w:r>
      <w:r>
        <w:rPr>
          <w:rFonts w:hint="default" w:ascii="Times New Roman" w:hAnsi="Times New Roman" w:cs="Times New Roman"/>
          <w:b w:val="0"/>
          <w:bCs w:val="0"/>
          <w:color w:val="auto"/>
          <w:kern w:val="0"/>
          <w:sz w:val="28"/>
          <w:szCs w:val="28"/>
          <w:highlight w:val="none"/>
          <w:lang w:val="en-US" w:eastAsia="zh-CN" w:bidi="ar"/>
        </w:rPr>
        <w:t>。</w:t>
      </w:r>
    </w:p>
    <w:p w14:paraId="7C3F0723">
      <w:pPr>
        <w:pStyle w:val="22"/>
        <w:bidi w:val="0"/>
        <w:outlineLvl w:val="9"/>
        <w:rPr>
          <w:rFonts w:hint="default" w:ascii="Times New Roman" w:hAnsi="Times New Roman" w:cs="Times New Roman"/>
          <w:lang w:val="en-US" w:eastAsia="zh-CN"/>
        </w:rPr>
      </w:pPr>
      <w:r>
        <w:rPr>
          <w:rFonts w:hint="default" w:ascii="Times New Roman" w:hAnsi="Times New Roman" w:cs="Times New Roman"/>
          <w:lang w:val="en-US" w:eastAsia="zh-CN"/>
        </w:rPr>
        <w:t>根据分析可对本项目债券期限内项目收入进行测算。项目计算期内预计总收入为</w:t>
      </w:r>
      <w:r>
        <w:rPr>
          <w:rFonts w:hint="eastAsia" w:cs="Times New Roman"/>
          <w:lang w:val="en-US" w:eastAsia="zh-CN"/>
        </w:rPr>
        <w:t>60480.00</w:t>
      </w:r>
      <w:r>
        <w:rPr>
          <w:rFonts w:hint="default" w:ascii="Times New Roman" w:hAnsi="Times New Roman" w:cs="Times New Roman"/>
          <w:lang w:val="en-US" w:eastAsia="zh-CN"/>
        </w:rPr>
        <w:t>万元。</w:t>
      </w:r>
    </w:p>
    <w:p w14:paraId="0F21F3FD">
      <w:pPr>
        <w:spacing w:beforeLines="50" w:afterLines="50" w:line="360" w:lineRule="auto"/>
        <w:ind w:firstLine="643" w:firstLineChars="200"/>
        <w:outlineLvl w:val="2"/>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2.成本预测</w:t>
      </w:r>
    </w:p>
    <w:p w14:paraId="109FF202">
      <w:pPr>
        <w:spacing w:beforeLines="50" w:afterLines="50" w:line="360" w:lineRule="auto"/>
        <w:ind w:firstLine="560" w:firstLineChars="200"/>
        <w:outlineLvl w:val="9"/>
        <w:rPr>
          <w:rFonts w:hint="default" w:ascii="Times New Roman" w:hAnsi="Times New Roman" w:eastAsia="仿宋" w:cs="Times New Roman"/>
          <w:sz w:val="28"/>
          <w:szCs w:val="28"/>
          <w:lang w:val="en-US" w:eastAsia="zh-CN"/>
        </w:rPr>
      </w:pPr>
      <w:bookmarkStart w:id="83" w:name="_Toc373"/>
      <w:r>
        <w:rPr>
          <w:rFonts w:hint="default" w:ascii="Times New Roman" w:hAnsi="Times New Roman" w:eastAsia="仿宋" w:cs="Times New Roman"/>
          <w:sz w:val="28"/>
          <w:szCs w:val="28"/>
          <w:lang w:val="en-US" w:eastAsia="zh-CN"/>
        </w:rPr>
        <w:t>本项目成本包括经营成本（工资及福利费（包括人员工资、社保、管理人员公积金等）、外购原材料、燃料及动力费（一般为电费、水费等）、维修费、管理费用等）、折旧摊销费、财务费用、相关税费。，经计算可知，本项目预测期成本费用为</w:t>
      </w:r>
      <w:r>
        <w:rPr>
          <w:rFonts w:hint="eastAsia" w:ascii="Times New Roman" w:hAnsi="Times New Roman" w:cs="Times New Roman"/>
          <w:sz w:val="28"/>
          <w:szCs w:val="28"/>
          <w:lang w:val="en-US" w:eastAsia="zh-CN"/>
        </w:rPr>
        <w:t>38846.14</w:t>
      </w:r>
      <w:r>
        <w:rPr>
          <w:rFonts w:hint="default" w:ascii="Times New Roman" w:hAnsi="Times New Roman" w:eastAsia="仿宋" w:cs="Times New Roman"/>
          <w:sz w:val="28"/>
          <w:szCs w:val="28"/>
          <w:lang w:val="en-US" w:eastAsia="zh-CN"/>
        </w:rPr>
        <w:t>万元。</w:t>
      </w:r>
    </w:p>
    <w:p w14:paraId="1F005BFB">
      <w:pPr>
        <w:spacing w:beforeLines="50" w:afterLines="50" w:line="360" w:lineRule="auto"/>
        <w:ind w:firstLine="643" w:firstLineChars="200"/>
        <w:outlineLvl w:val="2"/>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3.项目损益</w:t>
      </w:r>
      <w:bookmarkEnd w:id="83"/>
    </w:p>
    <w:p w14:paraId="6E6BC698">
      <w:pPr>
        <w:spacing w:beforeLines="50" w:afterLines="50" w:line="360" w:lineRule="auto"/>
        <w:ind w:firstLine="560" w:firstLineChars="200"/>
        <w:outlineLvl w:val="9"/>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color w:val="auto"/>
          <w:szCs w:val="28"/>
          <w:highlight w:val="none"/>
        </w:rPr>
        <w:t>综合上述专项收入、经营成本费用的估算，本项目在债券存续期内运营总收入预计为60480.00万元，总成本预计38846.14万元，累计净利润为19444.60万元，本项目净现金流量累计38204.80万元。收入覆盖倍数为1.35倍。</w:t>
      </w:r>
    </w:p>
    <w:p w14:paraId="1857D4D2">
      <w:pPr>
        <w:spacing w:beforeLines="50" w:afterLines="50" w:line="360" w:lineRule="auto"/>
        <w:outlineLvl w:val="1"/>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二</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资金测算平衡情况</w:t>
      </w:r>
    </w:p>
    <w:p w14:paraId="002F2F40">
      <w:pPr>
        <w:pStyle w:val="3"/>
        <w:numPr>
          <w:ilvl w:val="2"/>
          <w:numId w:val="0"/>
        </w:numPr>
        <w:shd w:val="clear"/>
        <w:tabs>
          <w:tab w:val="left" w:pos="0"/>
          <w:tab w:val="left" w:pos="3285"/>
        </w:tabs>
        <w:spacing w:before="0" w:after="0"/>
        <w:ind w:firstLine="643" w:firstLineChars="200"/>
        <w:rPr>
          <w:rFonts w:hint="default" w:ascii="Times New Roman" w:hAnsi="Times New Roman" w:eastAsia="仿宋" w:cs="Times New Roman"/>
          <w:color w:val="auto"/>
          <w:szCs w:val="28"/>
          <w:highlight w:val="none"/>
        </w:rPr>
      </w:pPr>
      <w:bookmarkStart w:id="84" w:name="_Toc10945"/>
      <w:bookmarkStart w:id="85" w:name="_Toc29543"/>
      <w:bookmarkStart w:id="86" w:name="_Toc22545"/>
      <w:bookmarkStart w:id="87" w:name="_Toc20833"/>
      <w:bookmarkStart w:id="88" w:name="_Toc11490"/>
      <w:bookmarkStart w:id="89" w:name="_Toc24636"/>
      <w:bookmarkStart w:id="90" w:name="_Toc18760766"/>
      <w:bookmarkStart w:id="91" w:name="_Toc11967"/>
      <w:bookmarkStart w:id="92" w:name="_Toc23742"/>
      <w:bookmarkStart w:id="93" w:name="_Toc6255"/>
      <w:bookmarkStart w:id="94" w:name="_Toc91603888"/>
      <w:bookmarkStart w:id="95" w:name="_Toc6897"/>
      <w:bookmarkStart w:id="96" w:name="_Toc9416"/>
      <w:bookmarkStart w:id="97" w:name="_Toc26693"/>
      <w:bookmarkStart w:id="98" w:name="_Toc13883"/>
      <w:bookmarkStart w:id="99" w:name="_Toc12782"/>
      <w:bookmarkStart w:id="100" w:name="_Toc18760767"/>
      <w:bookmarkStart w:id="101" w:name="_Toc15443"/>
      <w:r>
        <w:rPr>
          <w:rFonts w:hint="default" w:ascii="Times New Roman" w:hAnsi="Times New Roman" w:eastAsia="仿宋" w:cs="Times New Roman"/>
          <w:color w:val="auto"/>
          <w:szCs w:val="28"/>
          <w:highlight w:val="none"/>
        </w:rPr>
        <w:t>1</w:t>
      </w:r>
      <w:r>
        <w:rPr>
          <w:rFonts w:hint="default" w:ascii="Times New Roman" w:hAnsi="Times New Roman" w:cs="Times New Roman"/>
          <w:color w:val="auto"/>
          <w:szCs w:val="28"/>
          <w:highlight w:val="none"/>
          <w:lang w:eastAsia="zh-CN"/>
        </w:rPr>
        <w:t>.</w:t>
      </w:r>
      <w:r>
        <w:rPr>
          <w:rFonts w:hint="default" w:ascii="Times New Roman" w:hAnsi="Times New Roman" w:eastAsia="仿宋" w:cs="Times New Roman"/>
          <w:color w:val="auto"/>
          <w:szCs w:val="28"/>
          <w:highlight w:val="none"/>
        </w:rPr>
        <w:t>项目还本付息计划</w:t>
      </w:r>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2A8A5397">
      <w:pPr>
        <w:spacing w:beforeLines="50" w:afterLines="50" w:line="360" w:lineRule="auto"/>
        <w:ind w:firstLine="560" w:firstLineChars="200"/>
        <w:outlineLvl w:val="9"/>
        <w:rPr>
          <w:rFonts w:hint="default" w:ascii="Times New Roman" w:hAnsi="Times New Roman" w:eastAsia="仿宋" w:cs="Times New Roman"/>
          <w:bCs/>
          <w:color w:val="000000"/>
          <w:sz w:val="28"/>
          <w:szCs w:val="28"/>
        </w:rPr>
      </w:pPr>
      <w:r>
        <w:rPr>
          <w:rFonts w:hint="default" w:ascii="Times New Roman" w:hAnsi="Times New Roman" w:eastAsia="仿宋" w:cs="Times New Roman"/>
          <w:color w:val="auto"/>
          <w:szCs w:val="28"/>
          <w:highlight w:val="none"/>
        </w:rPr>
        <w:t>本项目发行债券需支付的利息，按照3.20%利率计算，债券发行期限为30年，每半年付息一次，期满一次偿还本金和最一笔利息。债券存续期内累计需支付利息13824.00万元，其中：专项债券建设期利息计620.80万元计入总投资，专项债券在运营期间产生的利息费用13203.20万元。</w:t>
      </w:r>
    </w:p>
    <w:p w14:paraId="4F8C399F">
      <w:pPr>
        <w:spacing w:beforeLines="50" w:afterLines="50" w:line="360" w:lineRule="auto"/>
        <w:ind w:firstLine="643" w:firstLineChars="200"/>
        <w:outlineLvl w:val="2"/>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2.项目资金平衡情况</w:t>
      </w:r>
      <w:bookmarkEnd w:id="98"/>
      <w:bookmarkEnd w:id="99"/>
      <w:bookmarkEnd w:id="100"/>
      <w:bookmarkEnd w:id="101"/>
    </w:p>
    <w:p w14:paraId="6D17F3C4">
      <w:pPr>
        <w:spacing w:beforeLines="50" w:afterLines="50" w:line="360" w:lineRule="auto"/>
        <w:ind w:firstLine="560" w:firstLineChars="200"/>
        <w:jc w:val="both"/>
        <w:outlineLvl w:val="9"/>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（1）资金平衡情况</w:t>
      </w:r>
    </w:p>
    <w:p w14:paraId="11C66B5F">
      <w:pPr>
        <w:spacing w:beforeLines="50" w:afterLines="50" w:line="360" w:lineRule="auto"/>
        <w:ind w:firstLine="560" w:firstLineChars="200"/>
        <w:jc w:val="both"/>
        <w:outlineLvl w:val="9"/>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若项目在满足上述资金筹集计划、项目实施计划、资金使用计划及预期收益的假设前提下，政府专项债到期日累计资金结余23804.80万元，项目在预测期内可实现净现金流38204.80万元，政府专项债券到期本息合计28224.00万元，本项目净现金流/政府专项债本息的收益覆盖倍数为1.35倍。期间不存在资金缺口。</w:t>
      </w:r>
    </w:p>
    <w:p w14:paraId="1626A9E9">
      <w:pPr>
        <w:spacing w:beforeLines="50" w:afterLines="50" w:line="360" w:lineRule="auto"/>
        <w:ind w:firstLine="560" w:firstLineChars="200"/>
        <w:jc w:val="both"/>
        <w:outlineLvl w:val="9"/>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（2）项目运营情况</w:t>
      </w:r>
    </w:p>
    <w:p w14:paraId="5F83B6DE">
      <w:pPr>
        <w:spacing w:beforeLines="50" w:afterLines="50" w:line="360" w:lineRule="auto"/>
        <w:ind w:firstLine="560" w:firstLineChars="200"/>
        <w:jc w:val="both"/>
        <w:outlineLvl w:val="9"/>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项目运营期收入：60480.00万元</w:t>
      </w:r>
    </w:p>
    <w:p w14:paraId="7C303B0D">
      <w:pPr>
        <w:spacing w:beforeLines="50" w:afterLines="50" w:line="360" w:lineRule="auto"/>
        <w:ind w:firstLine="560" w:firstLineChars="200"/>
        <w:jc w:val="both"/>
        <w:outlineLvl w:val="9"/>
        <w:rPr>
          <w:rFonts w:hint="default" w:ascii="Times New Roman" w:hAnsi="Times New Roman" w:eastAsia="仿宋" w:cs="Times New Roman"/>
          <w:kern w:val="2"/>
          <w:sz w:val="28"/>
          <w:szCs w:val="28"/>
          <w:lang w:val="en-US"/>
        </w:rPr>
      </w:pPr>
      <w:r>
        <w:rPr>
          <w:rFonts w:hint="eastAsia" w:ascii="Times New Roman" w:hAnsi="Times New Roman" w:cs="Times New Roman"/>
          <w:color w:val="auto"/>
          <w:szCs w:val="28"/>
          <w:highlight w:val="none"/>
          <w:lang w:eastAsia="zh-CN"/>
        </w:rPr>
        <w:t>项目运营支出（不含财务费用）=经营活动产生的现金流出=项目运营成本（不含财务费用）+其他运营支出=9072.00万元</w:t>
      </w:r>
    </w:p>
    <w:p w14:paraId="4A00648D">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sectPr>
          <w:headerReference r:id="rId5" w:type="default"/>
          <w:footerReference r:id="rId6" w:type="default"/>
          <w:pgSz w:w="11906" w:h="16838"/>
          <w:pgMar w:top="1440" w:right="1800" w:bottom="1440" w:left="1800" w:header="851" w:footer="992" w:gutter="0"/>
          <w:pgNumType w:fmt="decimal"/>
          <w:cols w:space="425" w:num="1"/>
          <w:docGrid w:type="lines" w:linePitch="326" w:charSpace="0"/>
        </w:sectPr>
      </w:pPr>
      <w:r>
        <w:rPr>
          <w:rFonts w:hint="default" w:ascii="Times New Roman" w:hAnsi="Times New Roman" w:eastAsia="仿宋" w:cs="Times New Roman"/>
          <w:sz w:val="28"/>
          <w:szCs w:val="28"/>
          <w:lang w:val="en-US" w:eastAsia="zh-CN"/>
        </w:rPr>
        <w:t>资金测算平衡情况具体见表下表所示。</w:t>
      </w:r>
    </w:p>
    <w:p w14:paraId="5A298CED">
      <w:pPr>
        <w:pStyle w:val="6"/>
        <w:jc w:val="center"/>
        <w:outlineLvl w:val="1"/>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资金平衡测算表</w:t>
      </w:r>
    </w:p>
    <w:p w14:paraId="420E5765">
      <w:pPr>
        <w:pStyle w:val="7"/>
        <w:jc w:val="right"/>
        <w:outlineLvl w:val="1"/>
        <w:rPr>
          <w:rFonts w:hint="default" w:ascii="Times New Roman" w:hAnsi="Times New Roman" w:eastAsia="仿宋" w:cs="Times New Roman"/>
          <w:b/>
          <w:bCs/>
          <w:caps w:val="0"/>
          <w:kern w:val="0"/>
          <w:sz w:val="24"/>
          <w:szCs w:val="24"/>
          <w:lang w:val="en-US" w:eastAsia="zh-CN" w:bidi="ar-SA"/>
        </w:rPr>
      </w:pPr>
      <w:r>
        <w:rPr>
          <w:rFonts w:hint="default" w:ascii="Times New Roman" w:hAnsi="Times New Roman" w:eastAsia="仿宋" w:cs="Times New Roman"/>
          <w:b/>
          <w:bCs/>
          <w:caps w:val="0"/>
          <w:kern w:val="0"/>
          <w:sz w:val="24"/>
          <w:szCs w:val="24"/>
          <w:lang w:val="en-US" w:eastAsia="zh-CN" w:bidi="ar-SA"/>
        </w:rPr>
        <w:t>单位：万元</w:t>
      </w:r>
    </w:p>
    <w:tbl>
      <w:tblPr>
        <w:tblStyle w:val="17"/>
        <w:tblW w:w="500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01"/>
        <w:gridCol w:w="3240"/>
        <w:gridCol w:w="806"/>
        <w:gridCol w:w="710"/>
        <w:gridCol w:w="803"/>
        <w:gridCol w:w="649"/>
        <w:gridCol w:w="649"/>
        <w:gridCol w:w="649"/>
        <w:gridCol w:w="649"/>
        <w:gridCol w:w="649"/>
        <w:gridCol w:w="649"/>
        <w:gridCol w:w="649"/>
        <w:gridCol w:w="649"/>
        <w:gridCol w:w="649"/>
        <w:gridCol w:w="698"/>
        <w:gridCol w:w="698"/>
        <w:gridCol w:w="738"/>
        <w:gridCol w:w="738"/>
        <w:gridCol w:w="763"/>
      </w:tblGrid>
      <w:tr w14:paraId="4BA5E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blHeader/>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3282959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序号</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3305F4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AC59E2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合计</w:t>
            </w:r>
          </w:p>
        </w:tc>
        <w:tc>
          <w:tcPr>
            <w:tcW w:w="490" w:type="pct"/>
            <w:gridSpan w:val="2"/>
            <w:tcBorders>
              <w:top w:val="single" w:color="auto" w:sz="6" w:space="0"/>
              <w:left w:val="single" w:color="auto" w:sz="6" w:space="0"/>
              <w:bottom w:val="single" w:color="auto" w:sz="6" w:space="0"/>
              <w:right w:val="nil"/>
              <w:tl2br w:val="nil"/>
              <w:tr2bl w:val="nil"/>
            </w:tcBorders>
            <w:noWrap w:val="0"/>
            <w:vAlign w:val="top"/>
          </w:tcPr>
          <w:p w14:paraId="2AA847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仿宋" w:hAnsi="仿宋" w:eastAsia="仿宋"/>
                <w:b/>
                <w:color w:val="000000"/>
                <w:sz w:val="18"/>
                <w:szCs w:val="18"/>
              </w:rPr>
              <w:t>建设期</w:t>
            </w:r>
          </w:p>
        </w:tc>
        <w:tc>
          <w:tcPr>
            <w:tcW w:w="3067" w:type="pct"/>
            <w:gridSpan w:val="14"/>
            <w:tcBorders>
              <w:top w:val="single" w:color="auto" w:sz="6" w:space="0"/>
              <w:left w:val="single" w:color="auto" w:sz="6" w:space="0"/>
              <w:bottom w:val="single" w:color="auto" w:sz="6" w:space="0"/>
              <w:right w:val="single" w:color="auto" w:sz="6" w:space="0"/>
              <w:tl2br w:val="nil"/>
              <w:tr2bl w:val="nil"/>
            </w:tcBorders>
            <w:noWrap w:val="0"/>
            <w:vAlign w:val="top"/>
          </w:tcPr>
          <w:p w14:paraId="7B147A9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运营期</w:t>
            </w:r>
          </w:p>
        </w:tc>
      </w:tr>
      <w:tr w14:paraId="1BB8C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BFD28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074108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8503C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230" w:type="pct"/>
            <w:tcBorders>
              <w:top w:val="nil"/>
              <w:left w:val="single" w:color="auto" w:sz="6" w:space="0"/>
              <w:bottom w:val="single" w:color="auto" w:sz="6" w:space="0"/>
              <w:right w:val="single" w:color="auto" w:sz="6" w:space="0"/>
              <w:tl2br w:val="nil"/>
              <w:tr2bl w:val="nil"/>
            </w:tcBorders>
            <w:noWrap w:val="0"/>
            <w:vAlign w:val="top"/>
          </w:tcPr>
          <w:p w14:paraId="7E59CF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第1年</w:t>
            </w:r>
          </w:p>
        </w:tc>
        <w:tc>
          <w:tcPr>
            <w:tcW w:w="260" w:type="pct"/>
            <w:tcBorders>
              <w:top w:val="nil"/>
              <w:left w:val="single" w:color="auto" w:sz="6" w:space="0"/>
              <w:bottom w:val="single" w:color="auto" w:sz="6" w:space="0"/>
              <w:right w:val="single" w:color="auto" w:sz="6" w:space="0"/>
              <w:tl2br w:val="nil"/>
              <w:tr2bl w:val="nil"/>
            </w:tcBorders>
            <w:noWrap w:val="0"/>
            <w:vAlign w:val="top"/>
          </w:tcPr>
          <w:p w14:paraId="27956C5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3A1014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7280C82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397F73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第3年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440D057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第4年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2360A46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第5年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63F3EDC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第6年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753C24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第7年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68C829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第8年</w:t>
            </w:r>
          </w:p>
        </w:tc>
        <w:tc>
          <w:tcPr>
            <w:tcW w:w="210" w:type="pct"/>
            <w:tcBorders>
              <w:top w:val="nil"/>
              <w:left w:val="single" w:color="auto" w:sz="6" w:space="0"/>
              <w:bottom w:val="single" w:color="auto" w:sz="6" w:space="0"/>
              <w:right w:val="single" w:color="auto" w:sz="6" w:space="0"/>
              <w:tl2br w:val="nil"/>
              <w:tr2bl w:val="nil"/>
            </w:tcBorders>
            <w:noWrap w:val="0"/>
            <w:vAlign w:val="top"/>
          </w:tcPr>
          <w:p w14:paraId="2C589E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第9年</w:t>
            </w:r>
          </w:p>
        </w:tc>
        <w:tc>
          <w:tcPr>
            <w:tcW w:w="226" w:type="pct"/>
            <w:tcBorders>
              <w:top w:val="nil"/>
              <w:left w:val="single" w:color="auto" w:sz="6" w:space="0"/>
              <w:bottom w:val="single" w:color="auto" w:sz="6" w:space="0"/>
              <w:right w:val="single" w:color="auto" w:sz="6" w:space="0"/>
              <w:tl2br w:val="nil"/>
              <w:tr2bl w:val="nil"/>
            </w:tcBorders>
            <w:noWrap w:val="0"/>
            <w:vAlign w:val="top"/>
          </w:tcPr>
          <w:p w14:paraId="28FD94C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第10年</w:t>
            </w:r>
          </w:p>
        </w:tc>
        <w:tc>
          <w:tcPr>
            <w:tcW w:w="226" w:type="pct"/>
            <w:tcBorders>
              <w:top w:val="nil"/>
              <w:left w:val="single" w:color="auto" w:sz="6" w:space="0"/>
              <w:bottom w:val="single" w:color="auto" w:sz="6" w:space="0"/>
              <w:right w:val="single" w:color="auto" w:sz="6" w:space="0"/>
              <w:tl2br w:val="nil"/>
              <w:tr2bl w:val="nil"/>
            </w:tcBorders>
            <w:noWrap w:val="0"/>
            <w:vAlign w:val="top"/>
          </w:tcPr>
          <w:p w14:paraId="6E0C4C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第11年</w:t>
            </w:r>
          </w:p>
        </w:tc>
        <w:tc>
          <w:tcPr>
            <w:tcW w:w="239" w:type="pct"/>
            <w:tcBorders>
              <w:top w:val="nil"/>
              <w:left w:val="single" w:color="auto" w:sz="6" w:space="0"/>
              <w:bottom w:val="single" w:color="auto" w:sz="6" w:space="0"/>
              <w:right w:val="single" w:color="auto" w:sz="6" w:space="0"/>
              <w:tl2br w:val="nil"/>
              <w:tr2bl w:val="nil"/>
            </w:tcBorders>
            <w:noWrap w:val="0"/>
            <w:vAlign w:val="top"/>
          </w:tcPr>
          <w:p w14:paraId="0A8AF38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第12年</w:t>
            </w:r>
          </w:p>
        </w:tc>
        <w:tc>
          <w:tcPr>
            <w:tcW w:w="239" w:type="pct"/>
            <w:tcBorders>
              <w:top w:val="nil"/>
              <w:left w:val="single" w:color="auto" w:sz="6" w:space="0"/>
              <w:bottom w:val="single" w:color="auto" w:sz="6" w:space="0"/>
              <w:right w:val="single" w:color="auto" w:sz="6" w:space="0"/>
              <w:tl2br w:val="nil"/>
              <w:tr2bl w:val="nil"/>
            </w:tcBorders>
            <w:noWrap w:val="0"/>
            <w:vAlign w:val="top"/>
          </w:tcPr>
          <w:p w14:paraId="352D0A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第13年</w:t>
            </w:r>
          </w:p>
        </w:tc>
        <w:tc>
          <w:tcPr>
            <w:tcW w:w="245" w:type="pct"/>
            <w:tcBorders>
              <w:top w:val="nil"/>
              <w:left w:val="single" w:color="auto" w:sz="6" w:space="0"/>
              <w:bottom w:val="single" w:color="auto" w:sz="6" w:space="0"/>
              <w:right w:val="single" w:color="auto" w:sz="6" w:space="0"/>
              <w:tl2br w:val="nil"/>
              <w:tr2bl w:val="nil"/>
            </w:tcBorders>
            <w:noWrap w:val="0"/>
            <w:vAlign w:val="top"/>
          </w:tcPr>
          <w:p w14:paraId="12E66E7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第14年</w:t>
            </w:r>
          </w:p>
        </w:tc>
      </w:tr>
      <w:tr w14:paraId="6B1DB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10A911F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一</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6AEE66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经营活动产生的净现金流量（1-2）</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1551A5D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51408.00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0A9544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6F7B5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6114A3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960.28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49FE0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1038.98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21A49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1168.80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463647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1297.02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AFF5D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1391.48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0CEDB7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1412.20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D33EB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1480.37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66467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1480.37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5ECAC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1548.34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0E0B7F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1551.94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AAE78A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1622.04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59A17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1622.04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0BD0FEC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1628.43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5CE36D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1598.57 </w:t>
            </w:r>
          </w:p>
        </w:tc>
      </w:tr>
      <w:tr w14:paraId="56C94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494CB0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02826C3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25FC2C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60480.00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36C886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327DA5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6A02F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1075.57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E70175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1157.66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A41C22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1297.84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DAF88F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1445.41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A54613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1555.80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A25B59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1581.72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032294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1660.81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4F2B8A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1660.81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F677F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1739.75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BA04C5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1743.86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26458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1826.74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FD42C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1826.74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6464FA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1918.08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1C07BE7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1918.08 </w:t>
            </w:r>
          </w:p>
        </w:tc>
      </w:tr>
      <w:tr w14:paraId="4A882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3B12A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1C6390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经营收入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8B53DB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60480.00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541FF5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6B441B3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27DE3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1075.57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0750DD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1157.66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52258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1297.84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4A1E9D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1445.41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6390A7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1555.80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E58B49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1581.72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489BEF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1660.81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D93D7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1660.81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DC9A5C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1739.75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44358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1743.86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5D971D3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1826.74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EB5AC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1826.74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F0BA27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1918.08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42FDF7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1918.08 </w:t>
            </w:r>
          </w:p>
        </w:tc>
      </w:tr>
      <w:tr w14:paraId="63B67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1B6D45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3638E8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补贴收入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7A3C5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432E8C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FE68C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656AD1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126D30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24F78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F8BFC8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AB8BF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8DD45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F4F958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292273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2ACF8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6FDBCC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DF9F9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E4616F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B455B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39A61E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37CB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0DBC66C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1D23AF8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2779FF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9072.00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137F5D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5159DE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4B8EC6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115.29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506636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118.68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D254A6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129.04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7C170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148.39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CF4E90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164.32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ABD60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169.52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934B0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180.44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37901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180.44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C8434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191.41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C33003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191.92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D7BC6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204.70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99DD8D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204.70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25EAA2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289.65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3F47BF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319.51 </w:t>
            </w:r>
          </w:p>
        </w:tc>
      </w:tr>
      <w:tr w14:paraId="7EC07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07992B9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527E6D1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经营成本</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4B720B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3629.56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1312AA9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03978EF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65365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96.54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6C911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98.59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1E63A8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102.10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58D93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105.79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0C009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108.55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5F4E0C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110.56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21CEB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112.54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201B7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112.54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11475B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114.51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2E564EF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114.62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5571CD7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118.10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99033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118.10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04A21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120.38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051B9C9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120.38 </w:t>
            </w:r>
          </w:p>
        </w:tc>
      </w:tr>
      <w:tr w14:paraId="41A2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14140F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 xml:space="preserve">2.2 </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1475724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其他费用（税金及附加+企业所得税）</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55ACDA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5442.44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5FC2C9F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4B3FF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24D230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18.75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9AF254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20.09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1C661E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26.94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B03A24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42.60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87EBF8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55.77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89E95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58.96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9B814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67.90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34E8D6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67.90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E09A55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76.90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26C913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77.30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56C52E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86.60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2F8AB6B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86.60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32B21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169.27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574DB1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199.13 </w:t>
            </w:r>
          </w:p>
        </w:tc>
      </w:tr>
      <w:tr w14:paraId="63FBF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28768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二</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7835DCD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投资活动净现金流量（1-2）</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2C7AF55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-17364.80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3A0CCA2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-5835.00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6FB70F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-11529.80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58997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65737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4416A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968B1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6E3FF4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8615D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8EA07F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A461FB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58BDFF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07A369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88719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ED4C8C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8C9FA6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40D14A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5A1F8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03E0F67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2B2B7EC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68D83E0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41DD921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312A2F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0B912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560D7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D6101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D1FF39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66C636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741B96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3B4A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5B5CB6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B55EE0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8CCB7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DF8E9E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6867B7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B41B47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C58CBE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F2CF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265CD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60816B7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处置投资物</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0CAAA65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67E5BA6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081293A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01D27D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CBEC16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0AFB0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4801C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F1E07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D8BA8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07A0D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5EBAC6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CBF2F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801192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4D33B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F05A7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B3EB9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BCE485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7D90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3A72B4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7F7314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收到其他投资</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604908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2E1246D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547789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2E9927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4C035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1A599A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9670C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14D983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D4FF6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9113B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98EC3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F1A90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B897BE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01D56F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58452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76792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39AA06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92DE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F2522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2C57251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7AAA8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17364.80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298B8E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5835.00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0C4290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11529.80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39D1C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C90459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294A16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6FBF3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25BA4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C900FC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4B7E0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DD44F5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6DE2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D09BF5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2CF3943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43D913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F35CDB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6FAD9D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6D076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4055CAA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6D415B2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建设投资（静态总投资）</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FDA29E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17364.80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0E31CF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5835.00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347838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11529.80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168B8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87D8A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A121A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2AE6D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89289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3BAE81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3A435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10FADD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91994A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F293C5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0214F8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934C2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2B7DEC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024E2A2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40253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171AA8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04876A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维持运营投资</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0ADA2EC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42A4C6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311EB6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EC34D5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BFD602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F7457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004F5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EAACD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3940F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67699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D53C9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9FCEE8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14E6E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F4DEBD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EAF2C4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EBE8E3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06851C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26BB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DBB03E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三</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238A63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筹措活动净现金流量（1-2）</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1D68001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-10238.40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448E8C4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5835.00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53C311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11529.80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AE69D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3D3A23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1C4FE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228D08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0E1FD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94B153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B27A2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68082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06A3A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22878D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5FB42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2A0A40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083229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89893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r>
      <w:tr w14:paraId="1E426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0AC7E60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599E45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02BF3E6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18000.00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7CB158A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6000.00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021208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12000.00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C5B9F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82FACB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3A195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02A0D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065E7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68F2BD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75C56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33233B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835B1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A62635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2E1C8E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090755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C26EA3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393601F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072F9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A82A0B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1F53708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项目资本金投入</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3F85F6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3600.00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2635B73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1000.00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08A6237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2600.00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0A4B52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7AD41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A6C13A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8B185D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E8ED4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32B0B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5536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74D32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2FE3B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A18C6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30CB0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910946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0CBFC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484C18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037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C85FFF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665EBF1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专项债券资金</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1862141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14400.00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558F048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5000.00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B1D3B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9400.00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61EA76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C8B0B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08C194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76E65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E3A917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AD873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75DAA3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6102EA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0CB30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C79F9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E46974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EF0C6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0038A8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E5540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E56E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636E0D7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1.3</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6407E3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市场化融资</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0A5C8B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111F52A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0323B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118B4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82957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F237F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CFDFD2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49290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0CA1E7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10F01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A2769C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1FBDC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5E8DDE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690E4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789C2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94E45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3314AFB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1022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09F7BF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767BFE5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1DD191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28238.40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23BC4E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491A324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470.20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9C89D7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1B0A3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81DE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A19CB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EA5EC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F4013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33E593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3F8645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8F87A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CDB5D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0CCAF5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1A77D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73F034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07F62F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r>
      <w:tr w14:paraId="6A4BC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04A847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7D37C7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市场化融资利息</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3ECA4A9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3C2848F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389AA0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24764E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90186B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05AA25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B5490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F0232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37429D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9C3DA1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3AF19A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B3541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E7ED81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4506B1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ADD6B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EA83F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80C5F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2BA8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426CA3D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2F5E2A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支付债券利息</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2E2D08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13824.00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12051F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160.00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DFD96C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B5FF4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4FBF4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BC0800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E0429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6692B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C994A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C2D2F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CE47A3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DEDF2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2CD86C1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5B2181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43B70D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0CB4C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28E4AD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460.80 </w:t>
            </w:r>
          </w:p>
        </w:tc>
      </w:tr>
      <w:tr w14:paraId="045C7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517F9D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2.3</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320535A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支付债券发行费用</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A7F94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14.40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6FB498B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56B8430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9.40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C7177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4B2D8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B32E3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2C91E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670A7B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20902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663F90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3D6DC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5A6C6A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8E6B2E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02FBD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DB7C27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6A6022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51293E6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DD33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6BBB6C7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2.4</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444892A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支付市场化融资发行费用</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36A87B8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2A21A2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5963D0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47803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5CF38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ED756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FB5E49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799FA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B55DAD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C03E4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807554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36F6F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2CB2F30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B6C966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6CBF12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235CC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451C253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E746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5912F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2.5</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4C9846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支付专项债券本金</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17ED2B7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14400.00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3938CDD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3A2417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9DFCC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07146C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885F6A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81AD0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D25B1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12C5B7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94A341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56F01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F63D2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0A9872B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BBA76A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3AE5577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0FCAD9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0862256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4A5B5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4EBA62C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2.6</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4977270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支付市场化融资本金</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6CF22E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01A963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7F41395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52D63D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6410A3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B08152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3798B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93BA9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F9043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0DE0B6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C9AFF6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10FB98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F374FE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74DBE2A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753C81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F9E46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093D8BE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4134C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39F9E4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四</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4D3154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现金流量总计</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458D88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08FD35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2C68D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B2203E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19E3B3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A1137B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6279C0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346621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9C0B6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277E24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CECAE5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FA1FC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97F10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3B326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CE77E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126E60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72C3D3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6E06D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55FB69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5525BB5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项目期的期初资金</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5D11672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3CAF74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2927BC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D8697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2B106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499.48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DC4D00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1077.66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C4FC9C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1785.66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2AA223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2621.88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74440F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3552.56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27873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4503.96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6A11F7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5523.53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051730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6543.10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CB75C1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7630.64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4D107E9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8721.78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9E236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9883.02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2F9C128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11044.26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56A7963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12211.89 </w:t>
            </w:r>
          </w:p>
        </w:tc>
      </w:tr>
      <w:tr w14:paraId="238F2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27D5246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2B218A7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项目期内现金变动（一+二+三）</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010A995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23804.80 </w:t>
            </w: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0F00605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328024A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7CBD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499.48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6E1655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578.18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417D7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708.00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CB5101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836.22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5FC2EE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930.68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C37375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951.40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F564C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1019.57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38A11B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1019.57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D6081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1087.54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66FFCF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1091.14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51D4E2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1161.24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463F2C0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1161.24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5324AC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1167.63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6A82477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1137.77 </w:t>
            </w:r>
          </w:p>
        </w:tc>
      </w:tr>
      <w:tr w14:paraId="317FC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30" w:type="pct"/>
            <w:tcBorders>
              <w:top w:val="single" w:color="auto" w:sz="6" w:space="0"/>
              <w:left w:val="single" w:color="auto" w:sz="6" w:space="0"/>
              <w:bottom w:val="single" w:color="auto" w:sz="6" w:space="0"/>
              <w:right w:val="single" w:color="auto" w:sz="6" w:space="0"/>
              <w:tl2br w:val="nil"/>
              <w:tr2bl w:val="nil"/>
            </w:tcBorders>
            <w:noWrap w:val="0"/>
            <w:vAlign w:val="top"/>
          </w:tcPr>
          <w:p w14:paraId="732E95B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3</w:t>
            </w:r>
          </w:p>
        </w:tc>
        <w:tc>
          <w:tcPr>
            <w:tcW w:w="1049" w:type="pct"/>
            <w:tcBorders>
              <w:top w:val="single" w:color="auto" w:sz="6" w:space="0"/>
              <w:left w:val="single" w:color="auto" w:sz="6" w:space="0"/>
              <w:bottom w:val="single" w:color="auto" w:sz="6" w:space="0"/>
              <w:right w:val="single" w:color="auto" w:sz="6" w:space="0"/>
              <w:tl2br w:val="nil"/>
              <w:tr2bl w:val="nil"/>
            </w:tcBorders>
            <w:noWrap w:val="0"/>
            <w:vAlign w:val="top"/>
          </w:tcPr>
          <w:p w14:paraId="1C6D59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项目期的期末资金</w:t>
            </w:r>
          </w:p>
        </w:tc>
        <w:tc>
          <w:tcPr>
            <w:tcW w:w="261" w:type="pct"/>
            <w:tcBorders>
              <w:top w:val="single" w:color="auto" w:sz="6" w:space="0"/>
              <w:left w:val="single" w:color="auto" w:sz="6" w:space="0"/>
              <w:bottom w:val="single" w:color="auto" w:sz="6" w:space="0"/>
              <w:right w:val="single" w:color="auto" w:sz="6" w:space="0"/>
              <w:tl2br w:val="nil"/>
              <w:tr2bl w:val="nil"/>
            </w:tcBorders>
            <w:noWrap w:val="0"/>
            <w:vAlign w:val="top"/>
          </w:tcPr>
          <w:p w14:paraId="7A51B9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30" w:type="pct"/>
            <w:tcBorders>
              <w:top w:val="single" w:color="auto" w:sz="6" w:space="0"/>
              <w:left w:val="single" w:color="auto" w:sz="6" w:space="0"/>
              <w:bottom w:val="single" w:color="auto" w:sz="6" w:space="0"/>
              <w:right w:val="single" w:color="auto" w:sz="6" w:space="0"/>
              <w:tl2br w:val="nil"/>
              <w:tr2bl w:val="nil"/>
            </w:tcBorders>
            <w:noWrap w:val="0"/>
            <w:vAlign w:val="top"/>
          </w:tcPr>
          <w:p w14:paraId="447BAB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60" w:type="pct"/>
            <w:tcBorders>
              <w:top w:val="single" w:color="auto" w:sz="6" w:space="0"/>
              <w:left w:val="single" w:color="auto" w:sz="6" w:space="0"/>
              <w:bottom w:val="single" w:color="auto" w:sz="6" w:space="0"/>
              <w:right w:val="single" w:color="auto" w:sz="6" w:space="0"/>
              <w:tl2br w:val="nil"/>
              <w:tr2bl w:val="nil"/>
            </w:tcBorders>
            <w:noWrap w:val="0"/>
            <w:vAlign w:val="top"/>
          </w:tcPr>
          <w:p w14:paraId="261D07A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0.00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C981D2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499.48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3B224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1077.66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26FAF8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1785.66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10F0EC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2621.88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57AB6D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3552.56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7EE25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4503.96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05FA537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5523.53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4E44390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6543.10 </w:t>
            </w:r>
          </w:p>
        </w:tc>
        <w:tc>
          <w:tcPr>
            <w:tcW w:w="210" w:type="pct"/>
            <w:tcBorders>
              <w:top w:val="single" w:color="auto" w:sz="6" w:space="0"/>
              <w:left w:val="single" w:color="auto" w:sz="6" w:space="0"/>
              <w:bottom w:val="single" w:color="auto" w:sz="6" w:space="0"/>
              <w:right w:val="single" w:color="auto" w:sz="6" w:space="0"/>
              <w:tl2br w:val="nil"/>
              <w:tr2bl w:val="nil"/>
            </w:tcBorders>
            <w:noWrap w:val="0"/>
            <w:vAlign w:val="top"/>
          </w:tcPr>
          <w:p w14:paraId="3B76E8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7630.64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1072266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8721.78 </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top"/>
          </w:tcPr>
          <w:p w14:paraId="32AB3F8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9883.02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0E8FFF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11044.26 </w:t>
            </w:r>
          </w:p>
        </w:tc>
        <w:tc>
          <w:tcPr>
            <w:tcW w:w="239" w:type="pct"/>
            <w:tcBorders>
              <w:top w:val="single" w:color="auto" w:sz="6" w:space="0"/>
              <w:left w:val="single" w:color="auto" w:sz="6" w:space="0"/>
              <w:bottom w:val="single" w:color="auto" w:sz="6" w:space="0"/>
              <w:right w:val="single" w:color="auto" w:sz="6" w:space="0"/>
              <w:tl2br w:val="nil"/>
              <w:tr2bl w:val="nil"/>
            </w:tcBorders>
            <w:noWrap w:val="0"/>
            <w:vAlign w:val="top"/>
          </w:tcPr>
          <w:p w14:paraId="79C9690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12211.89 </w:t>
            </w:r>
          </w:p>
        </w:tc>
        <w:tc>
          <w:tcPr>
            <w:tcW w:w="245" w:type="pct"/>
            <w:tcBorders>
              <w:top w:val="single" w:color="auto" w:sz="6" w:space="0"/>
              <w:left w:val="single" w:color="auto" w:sz="6" w:space="0"/>
              <w:bottom w:val="single" w:color="auto" w:sz="6" w:space="0"/>
              <w:right w:val="single" w:color="auto" w:sz="6" w:space="0"/>
              <w:tl2br w:val="nil"/>
              <w:tr2bl w:val="nil"/>
            </w:tcBorders>
            <w:noWrap w:val="0"/>
            <w:vAlign w:val="top"/>
          </w:tcPr>
          <w:p w14:paraId="1B78322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 xml:space="preserve">13349.66 </w:t>
            </w:r>
          </w:p>
        </w:tc>
      </w:tr>
    </w:tbl>
    <w:p w14:paraId="0697268C">
      <w:pPr>
        <w:widowControl/>
        <w:autoSpaceDE/>
        <w:autoSpaceDN/>
        <w:adjustRightInd/>
        <w:snapToGrid w:val="0"/>
        <w:spacing w:before="260" w:after="120" w:line="360" w:lineRule="auto"/>
        <w:ind w:left="0" w:leftChars="0" w:firstLine="0" w:firstLineChars="0"/>
        <w:jc w:val="both"/>
        <w:rPr>
          <w:rFonts w:hint="default" w:ascii="Times New Roman" w:hAnsi="Times New Roman" w:eastAsia="仿宋" w:cs="Times New Roman"/>
          <w:b/>
          <w:bCs/>
          <w:color w:val="auto"/>
          <w:kern w:val="2"/>
          <w:sz w:val="32"/>
          <w:szCs w:val="32"/>
          <w:highlight w:val="none"/>
          <w:lang w:val="en-US" w:eastAsia="zh-CN" w:bidi="ar-SA"/>
        </w:rPr>
        <w:sectPr>
          <w:headerReference r:id="rId7" w:type="default"/>
          <w:pgSz w:w="16838" w:h="11906" w:orient="landscape"/>
          <w:pgMar w:top="720" w:right="720" w:bottom="720" w:left="720" w:header="851" w:footer="992" w:gutter="0"/>
          <w:pgNumType w:fmt="decimal"/>
          <w:cols w:space="720" w:num="1"/>
          <w:docGrid w:type="lines" w:linePitch="381" w:charSpace="0"/>
        </w:sectPr>
      </w:pPr>
    </w:p>
    <w:tbl>
      <w:tblPr>
        <w:tblStyle w:val="17"/>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347"/>
        <w:gridCol w:w="2472"/>
        <w:gridCol w:w="752"/>
        <w:gridCol w:w="663"/>
        <w:gridCol w:w="749"/>
        <w:gridCol w:w="694"/>
        <w:gridCol w:w="694"/>
        <w:gridCol w:w="694"/>
        <w:gridCol w:w="694"/>
        <w:gridCol w:w="694"/>
        <w:gridCol w:w="694"/>
        <w:gridCol w:w="694"/>
        <w:gridCol w:w="694"/>
        <w:gridCol w:w="694"/>
        <w:gridCol w:w="694"/>
        <w:gridCol w:w="694"/>
        <w:gridCol w:w="694"/>
        <w:gridCol w:w="694"/>
        <w:gridCol w:w="694"/>
        <w:gridCol w:w="712"/>
      </w:tblGrid>
      <w:tr w14:paraId="36653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blHeader/>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2659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序号</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38C3E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CC3609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合计</w:t>
            </w:r>
          </w:p>
        </w:tc>
        <w:tc>
          <w:tcPr>
            <w:tcW w:w="458" w:type="pct"/>
            <w:gridSpan w:val="2"/>
            <w:tcBorders>
              <w:top w:val="single" w:color="auto" w:sz="6" w:space="0"/>
              <w:left w:val="single" w:color="auto" w:sz="6" w:space="0"/>
              <w:bottom w:val="single" w:color="auto" w:sz="6" w:space="0"/>
              <w:right w:val="nil"/>
              <w:tl2br w:val="nil"/>
              <w:tr2bl w:val="nil"/>
            </w:tcBorders>
            <w:noWrap w:val="0"/>
            <w:vAlign w:val="center"/>
          </w:tcPr>
          <w:p w14:paraId="36FF22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仿宋" w:hAnsi="仿宋" w:eastAsia="仿宋"/>
                <w:b/>
                <w:color w:val="000000"/>
                <w:sz w:val="18"/>
                <w:szCs w:val="18"/>
              </w:rPr>
              <w:t>建设期</w:t>
            </w:r>
          </w:p>
        </w:tc>
        <w:tc>
          <w:tcPr>
            <w:tcW w:w="3381" w:type="pct"/>
            <w:gridSpan w:val="15"/>
            <w:tcBorders>
              <w:top w:val="single" w:color="auto" w:sz="6" w:space="0"/>
              <w:left w:val="single" w:color="auto" w:sz="6" w:space="0"/>
              <w:bottom w:val="single" w:color="auto" w:sz="6" w:space="0"/>
              <w:right w:val="single" w:color="auto" w:sz="6" w:space="0"/>
              <w:tl2br w:val="nil"/>
              <w:tr2bl w:val="nil"/>
            </w:tcBorders>
            <w:noWrap w:val="0"/>
            <w:vAlign w:val="center"/>
          </w:tcPr>
          <w:p w14:paraId="2D8772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运营期</w:t>
            </w:r>
          </w:p>
        </w:tc>
      </w:tr>
      <w:tr w14:paraId="24178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731467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30634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529BEC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p>
        </w:tc>
        <w:tc>
          <w:tcPr>
            <w:tcW w:w="215" w:type="pct"/>
            <w:tcBorders>
              <w:top w:val="nil"/>
              <w:left w:val="single" w:color="auto" w:sz="6" w:space="0"/>
              <w:bottom w:val="single" w:color="auto" w:sz="6" w:space="0"/>
              <w:right w:val="single" w:color="auto" w:sz="6" w:space="0"/>
              <w:tl2br w:val="nil"/>
              <w:tr2bl w:val="nil"/>
            </w:tcBorders>
            <w:noWrap w:val="0"/>
            <w:vAlign w:val="center"/>
          </w:tcPr>
          <w:p w14:paraId="0EF001F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第1年</w:t>
            </w:r>
          </w:p>
        </w:tc>
        <w:tc>
          <w:tcPr>
            <w:tcW w:w="242" w:type="pct"/>
            <w:tcBorders>
              <w:top w:val="nil"/>
              <w:left w:val="single" w:color="auto" w:sz="6" w:space="0"/>
              <w:bottom w:val="single" w:color="auto" w:sz="6" w:space="0"/>
              <w:right w:val="single" w:color="auto" w:sz="6" w:space="0"/>
              <w:tl2br w:val="nil"/>
              <w:tr2bl w:val="nil"/>
            </w:tcBorders>
            <w:noWrap w:val="0"/>
            <w:vAlign w:val="center"/>
          </w:tcPr>
          <w:p w14:paraId="79EEC1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43B216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第15年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36D092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第16年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437E88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第17年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2777AE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第18年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16C3092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第19年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6DE60F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第20年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38D4962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第21年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641AAF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第22年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4CCC057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第23年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7DCA5BF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第24年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4C8E2C4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第25年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34B072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第26年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18EFE95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第27年</w:t>
            </w:r>
          </w:p>
        </w:tc>
        <w:tc>
          <w:tcPr>
            <w:tcW w:w="225" w:type="pct"/>
            <w:tcBorders>
              <w:top w:val="nil"/>
              <w:left w:val="single" w:color="auto" w:sz="6" w:space="0"/>
              <w:bottom w:val="single" w:color="auto" w:sz="6" w:space="0"/>
              <w:right w:val="single" w:color="auto" w:sz="6" w:space="0"/>
              <w:tl2br w:val="nil"/>
              <w:tr2bl w:val="nil"/>
            </w:tcBorders>
            <w:noWrap w:val="0"/>
            <w:vAlign w:val="center"/>
          </w:tcPr>
          <w:p w14:paraId="3453760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第28年</w:t>
            </w:r>
          </w:p>
        </w:tc>
        <w:tc>
          <w:tcPr>
            <w:tcW w:w="226" w:type="pct"/>
            <w:tcBorders>
              <w:top w:val="nil"/>
              <w:left w:val="single" w:color="auto" w:sz="6" w:space="0"/>
              <w:bottom w:val="single" w:color="auto" w:sz="6" w:space="0"/>
              <w:right w:val="single" w:color="auto" w:sz="6" w:space="0"/>
              <w:tl2br w:val="nil"/>
              <w:tr2bl w:val="nil"/>
            </w:tcBorders>
            <w:noWrap w:val="0"/>
            <w:vAlign w:val="center"/>
          </w:tcPr>
          <w:p w14:paraId="3D41FB2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宋体" w:hAnsi="宋体"/>
                <w:b/>
                <w:color w:val="000000"/>
                <w:sz w:val="18"/>
                <w:szCs w:val="18"/>
              </w:rPr>
            </w:pPr>
            <w:r>
              <w:rPr>
                <w:rFonts w:hint="eastAsia" w:ascii="宋体" w:hAnsi="宋体"/>
                <w:b/>
                <w:color w:val="000000"/>
                <w:sz w:val="18"/>
                <w:szCs w:val="18"/>
              </w:rPr>
              <w:t>第29年</w:t>
            </w:r>
          </w:p>
        </w:tc>
      </w:tr>
      <w:tr w14:paraId="72B3D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F85163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一</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219AC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经营活动产生的净现金流量（1-2）</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66E6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51408.00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253D8E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627CD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939C6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1672.49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FFCA7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1674.66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4670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1752.28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B987F1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1752.28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4531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1837.43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8A078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1837.43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7AE6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1914.85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9E620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1918.70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7ABAE1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2008.55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054523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2008.55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06188C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2106.93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4AB2B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2105.55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70D3C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2204.63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74C8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3379.61</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2B6F5E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3433.20</w:t>
            </w:r>
          </w:p>
        </w:tc>
      </w:tr>
      <w:tr w14:paraId="3309C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4CC7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9C7979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916D3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60480.00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7E0037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69D90D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8CD0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2009.46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9CB1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2013.98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3D706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2109.93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58ED4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2109.93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209F8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2215.42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4BFF7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2215.42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ED4AB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2321.20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212D3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2326.19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54A4E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2437.26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A4B8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2437.26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803B6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2559.13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CE41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2559.13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A5A98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2681.59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A16C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4000.97</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8A68A7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4074.26</w:t>
            </w:r>
          </w:p>
        </w:tc>
      </w:tr>
      <w:tr w14:paraId="5CA4C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BFE48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B1EA67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经营收入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B0F7CD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60480.00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CFF9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3ABE7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56D3C9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2009.46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63C6CA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2013.98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691EB6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2109.93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0749AA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2109.93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A704F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2215.42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53DB0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2215.42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814EAC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2321.20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BDF17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2326.19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60E4A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2437.26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89C6F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2437.26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4AA4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2559.13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34759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2559.13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9C711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2681.59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24FE5B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4000.97</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7A2FB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4074.26</w:t>
            </w:r>
          </w:p>
        </w:tc>
      </w:tr>
      <w:tr w14:paraId="7136E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DB2A50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0715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补贴收入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41FF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2A546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7A33E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69A764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4740E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F4D1D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29EE1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960423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EB11AD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0EE8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BF908C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54D4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2114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417E1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E2E7A0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DF87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C6DB0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2AAF1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62E34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4"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8E35D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49EF4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C89C1B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9072.00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B82B2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A9A3C4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2B37AF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336.97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BDD3C1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339.32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C0641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357.65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55968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357.65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B47FBD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377.99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B4BC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377.99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824FB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406.35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FA5CE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407.49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6227FD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428.71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6D00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428.71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3DFE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452.20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32A9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453.58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F48988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476.96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9671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621.36</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3C83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641.06</w:t>
            </w:r>
          </w:p>
        </w:tc>
      </w:tr>
      <w:tr w14:paraId="1A9C6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FD907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99B4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经营成本</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3378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3629.56</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EF568D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A4464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1DAD22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122.67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1824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124.23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8786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126.63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06D20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126.63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1272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129.27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CB8093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129.27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CC9B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133.41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200D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133.53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9B88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136.31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6E44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136.31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970F09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139.36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F2AD63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140.90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9967F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143.94</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F94E8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176.79</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CF3E3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177.01</w:t>
            </w:r>
          </w:p>
        </w:tc>
      </w:tr>
      <w:tr w14:paraId="0D21D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A12D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AEF73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其他费用（税金及附加+企业所得税）</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3FD4A0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5442.44</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A56CE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53E5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08FFE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214.30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5B40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215.09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FBFE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231.02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F91B7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231.02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4CB88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248.72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FF3BD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248.72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BE4920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272.94</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74AFB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273.96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6F30E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292.40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DAFD3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292.40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65B91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312.84</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0C343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312.68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B5D4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333.02</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B6DD9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444.57</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08043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464.05</w:t>
            </w:r>
          </w:p>
        </w:tc>
      </w:tr>
      <w:tr w14:paraId="0D269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EFF8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二</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BD19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投资活动净现金流量（1-2）</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0D570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-17364.80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1843B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-5835.00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EC9B3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-11529.80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095AE1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E5FE5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AE2548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6ADCD2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0B3A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42F8D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B3DF3E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259C12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ACECF2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441B7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8F201C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01C17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BFDC1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6660D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0BE9E0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550F8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4EAF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4DF98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6F0CA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D4E6C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4D0A5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3D5D40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F48F21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3DA4CB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DAEE2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C6FD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12181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7A39F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B8BBC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78B1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648FC9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0BCEE6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2D26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8C06D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33CA4D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189E3F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0A3BC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6596A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8DA3C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处置投资物</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07D55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CA6993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16878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6ED66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09FE43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EA8A3A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01FD0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10424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7607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DFA9B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EC2729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B4B49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C0100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6BE1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92C32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6B1D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65F69D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FCADC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43C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A0CE8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8B253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收到其他投资</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64425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111279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9CBEE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0A226C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06325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CA86B8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8E9C0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BF99F6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3E32B7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84E0F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299A68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A6D0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88D85F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5D0B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6311B2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ECC5FC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0511A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4E797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D074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3D297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FA6B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56B14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17364.80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23721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5835.00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9621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11529.80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3E8D81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FAFEBA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7110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9D2A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9AA5C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83872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D5485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49906D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3BFD5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36AA20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27BE6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8704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10B775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8CDCA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4584B3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6758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8F704E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D6120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建设投资（静态总投资）</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BC7B3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17364.80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9AED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5835.00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2A1F6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11529.80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A493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AAC69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103C2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4EAA0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3717E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FD1F6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A0DC66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E17FCF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7F45C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81526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9FD522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AD28C6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6CCD51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A05700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975DD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281DF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45F31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D29F9F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维持运营投资</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4BE65A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508A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CE6A5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EF47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26FCB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E29D7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E762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1942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360BA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9A85CE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2C858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CBF4D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C09F42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8A751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5BCE7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57DB2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112C02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6AD1ED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9F97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251FE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三</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FCAC6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筹措活动净现金流量（1-2）</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B9B57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-10238.40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D8BA2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5835.00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CDC1C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11529.80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EF3A76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73467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BFC503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6B64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410A3F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C2824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AE7DEA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A5A17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38C6B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3270E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504B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90C6A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C83E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03ED6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-5460.80</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85E89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-9700.80</w:t>
            </w:r>
          </w:p>
        </w:tc>
      </w:tr>
      <w:tr w14:paraId="33D44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6AEFEA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315D1D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C902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18000.00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7839A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6000.00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4F22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12000.00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FF944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4F74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CBA09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5931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6E468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73152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D1E9B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8BCC0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A4C5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EE9F0B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D06F6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4EBE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7BBB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7723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42B20D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72E80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92AE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D28AC4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项目资本金投入</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9C421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3600.00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445B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1000.00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A81882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2600.00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B1596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05716A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748CB1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1A447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5CB3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9CB15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70E1EA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A703C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03DE59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BE491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FE54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8B3AE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E30FFE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D205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0266D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1FC2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E3266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B9559D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专项债券资金</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AA8CD3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14400.00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2F09F9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5000.00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C964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9400.00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F938B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FDBAE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E5030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23EE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020D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798562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550977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2B2B0F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AD7E9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94CE1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F3F69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587332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A6BBE6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E9D8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5773B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DB42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07BF5E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1.3</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E40401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市场化融资</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1E7A2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474D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28E56A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7A335D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C66DF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FDED58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F59DD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413E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3EA88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0A46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256C38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73AC6F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4EA25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9AFAB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9F2DED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913BD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F7802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712F6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B028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B77B93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37302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现金流出</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5220DE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28238.40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DC50B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7D2F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470.20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8F737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A37E8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DFE7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A9D6C9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D51904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04FE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35A5C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67002E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7C9691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AC4EE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91C20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B5F25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C91F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894698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5460.80</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A10C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9700.80</w:t>
            </w:r>
          </w:p>
        </w:tc>
      </w:tr>
      <w:tr w14:paraId="21E8C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FFBF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A76A0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市场化融资利息</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F7F80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A913F3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46E37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F3A8A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8CA9C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2622E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A40D4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3C2D6D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59F4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BAE6C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011BA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7FAE7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6DBC6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319805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C110A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B50F9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082FA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D538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05F0E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6D1B8B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E6ADAF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支付债券利息</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9B82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13824.00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086F08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160.00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3627B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FF938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A08468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47A1CD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E8F3BD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04CF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2E838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274798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987B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B8E83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98AD7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9B08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2AAD2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11673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676724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460.80</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FE56E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300.80</w:t>
            </w:r>
          </w:p>
        </w:tc>
      </w:tr>
      <w:tr w14:paraId="1C637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58CE3C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2.3</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D68624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支付债券发行费用</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CEB1F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14.40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38E53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3B0781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9.40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C855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07CB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0A7CE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002F9D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B32C9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83C22A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14ECC2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4C4EE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FFAC0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997FB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7F89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05F23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2297C8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4E9CE8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6B3A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7D43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0E109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2.4</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CF422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支付市场化融资发行费用</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2A06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44BA16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857A9E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FCE6A6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8BE4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84FF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87B08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60B48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2E72AB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F0997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2538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2B2BB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746228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F71C3F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A955A4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839DDD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2EA546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47AC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1958D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7324B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2.5</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179488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支付专项债券本金</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8897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14400.00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C67B9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528ED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37285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B98451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2851A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ECA31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65E4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57604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39B47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D49CCF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9062F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9B4EEF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E06F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45762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05460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4EC63C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5000.00</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36405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9400.00</w:t>
            </w:r>
          </w:p>
        </w:tc>
      </w:tr>
      <w:tr w14:paraId="1C1FE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E5E19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2.6</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67128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支付市场化融资本金</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03F1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C5D81A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E17622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4E231A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9AC872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78A63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F68DA4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05D05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DE438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051D49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9E99F1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0C4864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A062D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968E00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CE042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DAF28C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A5B3B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525DF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374AF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6AD08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四</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3E3CA5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现金流量总计</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0BB84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6BA309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7F6C47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56773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9ED1B2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9A4F6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95583E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18B783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5938C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FA4898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17E13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118E00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67914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E0362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470CF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45C482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53A812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B55CA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r>
      <w:tr w14:paraId="088A4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F8972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1</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292384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项目期的期初资金</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89A15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ADCB94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CD741D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CA7950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13349.66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8E9F7B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14561.35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ED5D7D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15775.21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307910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17066.69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3122D7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18358.17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8F5E91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19734.80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E24559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21111.43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DFCD90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22565.48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5F8A7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24023.38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37F0D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25571.13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9E285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27118.88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911BA7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28765.01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52942F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30409.76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16AA9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32153.59</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1575DE">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30072.40</w:t>
            </w:r>
          </w:p>
        </w:tc>
      </w:tr>
      <w:tr w14:paraId="2B0FA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E09669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2</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D1DDE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项目期内现金变动（一+二+三）</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4537BF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23804.80</w:t>
            </w: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B556E11">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B4D2646">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71DD8F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1211.69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A1F74C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1213.86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8CA695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1291.48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8B993A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1291.48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01E9B2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1376.63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C456CD3">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1376.63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7C96FD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1454.05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51A13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1457.90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584B1A8">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1547.75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9702A1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1547.75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FD0122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1646.13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B0C05C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1644.75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E3B49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1743.83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C29246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-2081.19</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CD7C0E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-6267.60</w:t>
            </w:r>
          </w:p>
        </w:tc>
      </w:tr>
      <w:tr w14:paraId="2B51F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1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B0E8AC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b/>
                <w:color w:val="000000"/>
                <w:sz w:val="18"/>
                <w:szCs w:val="18"/>
              </w:rPr>
            </w:pPr>
            <w:r>
              <w:rPr>
                <w:rFonts w:hint="eastAsia" w:ascii="Times New Roman" w:hAnsi="Times New Roman" w:eastAsia="Times New Roman"/>
                <w:b/>
                <w:color w:val="000000"/>
                <w:sz w:val="18"/>
                <w:szCs w:val="18"/>
              </w:rPr>
              <w:t>3</w:t>
            </w:r>
          </w:p>
        </w:tc>
        <w:tc>
          <w:tcPr>
            <w:tcW w:w="80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1809D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仿宋" w:hAnsi="仿宋" w:eastAsia="仿宋"/>
                <w:b/>
                <w:color w:val="000000"/>
                <w:sz w:val="18"/>
                <w:szCs w:val="18"/>
              </w:rPr>
            </w:pPr>
            <w:r>
              <w:rPr>
                <w:rFonts w:hint="eastAsia" w:ascii="仿宋" w:hAnsi="仿宋" w:eastAsia="仿宋"/>
                <w:b/>
                <w:color w:val="000000"/>
                <w:sz w:val="18"/>
                <w:szCs w:val="18"/>
              </w:rPr>
              <w:t>项目期的期末资金</w:t>
            </w:r>
          </w:p>
        </w:tc>
        <w:tc>
          <w:tcPr>
            <w:tcW w:w="24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02338E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p>
        </w:tc>
        <w:tc>
          <w:tcPr>
            <w:tcW w:w="21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19C447">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42"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E1D6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0.00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5C37B0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14561.35</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D4458D">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15775.21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31F346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17066.69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D281AC2">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18358.17</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2F3C5C4">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19734.80</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1E0285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21111.43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419618F">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22565.48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12D72F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24023.38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2E26BCA">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25571.13</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B9447E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27118.88</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DDF4ACB">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28765.01</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425E480">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30409.76</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38F52E9">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32153.59</w:t>
            </w:r>
          </w:p>
        </w:tc>
        <w:tc>
          <w:tcPr>
            <w:tcW w:w="225"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5B3DEAC">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30072.40</w:t>
            </w:r>
          </w:p>
        </w:tc>
        <w:tc>
          <w:tcPr>
            <w:tcW w:w="2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883C0B5">
            <w:pPr>
              <w:keepNext w:val="0"/>
              <w:keepLines w:val="0"/>
              <w:pageBreakBefore w:val="0"/>
              <w:widowControl w:val="0"/>
              <w:kinsoku/>
              <w:wordWrap/>
              <w:overflowPunct/>
              <w:topLinePunct w:val="0"/>
              <w:autoSpaceDE/>
              <w:autoSpaceDN/>
              <w:bidi w:val="0"/>
              <w:adjustRightInd/>
              <w:snapToGrid/>
              <w:spacing w:beforeLines="0" w:afterLines="0" w:line="240" w:lineRule="exact"/>
              <w:ind w:firstLine="0" w:firstLineChars="0"/>
              <w:jc w:val="center"/>
              <w:textAlignment w:val="auto"/>
              <w:rPr>
                <w:rFonts w:hint="eastAsia" w:ascii="Times New Roman" w:hAnsi="Times New Roman" w:eastAsia="Times New Roman"/>
                <w:color w:val="000000"/>
                <w:sz w:val="18"/>
                <w:szCs w:val="18"/>
              </w:rPr>
            </w:pPr>
            <w:r>
              <w:rPr>
                <w:rFonts w:hint="eastAsia" w:ascii="Times New Roman" w:hAnsi="Times New Roman" w:eastAsia="Times New Roman"/>
                <w:color w:val="000000"/>
                <w:sz w:val="18"/>
                <w:szCs w:val="18"/>
              </w:rPr>
              <w:t>23804.80</w:t>
            </w:r>
          </w:p>
        </w:tc>
      </w:tr>
    </w:tbl>
    <w:p w14:paraId="1CD35AD3">
      <w:pPr>
        <w:pStyle w:val="22"/>
        <w:bidi w:val="0"/>
        <w:ind w:left="0" w:leftChars="0" w:firstLine="0" w:firstLineChars="0"/>
        <w:outlineLvl w:val="9"/>
        <w:rPr>
          <w:rFonts w:hint="default" w:ascii="Times New Roman" w:hAnsi="Times New Roman" w:cs="Times New Roman"/>
          <w:b/>
          <w:bCs/>
          <w:lang w:val="en-US"/>
        </w:rPr>
        <w:sectPr>
          <w:pgSz w:w="16838" w:h="11906" w:orient="landscape"/>
          <w:pgMar w:top="720" w:right="720" w:bottom="720" w:left="720" w:header="851" w:footer="992" w:gutter="0"/>
          <w:pgNumType w:fmt="decimal"/>
          <w:cols w:space="720" w:num="1"/>
          <w:docGrid w:type="lines" w:linePitch="381" w:charSpace="0"/>
        </w:sectPr>
      </w:pPr>
    </w:p>
    <w:p w14:paraId="0A9F8D2A">
      <w:pPr>
        <w:adjustRightInd/>
        <w:snapToGrid/>
        <w:spacing w:line="560" w:lineRule="exact"/>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五、项目绩效目标</w:t>
      </w:r>
    </w:p>
    <w:p w14:paraId="388C7827">
      <w:pPr>
        <w:shd w:val="clear"/>
        <w:autoSpaceDE w:val="0"/>
        <w:autoSpaceDN w:val="0"/>
        <w:ind w:firstLine="560"/>
        <w:jc w:val="left"/>
        <w:rPr>
          <w:rFonts w:hint="default" w:ascii="Times New Roman" w:hAnsi="Times New Roman" w:cs="Times New Roman"/>
          <w:color w:val="auto"/>
          <w:szCs w:val="28"/>
          <w:highlight w:val="none"/>
          <w:lang w:val="zh-CN" w:bidi="zh-CN"/>
        </w:rPr>
      </w:pPr>
      <w:r>
        <w:rPr>
          <w:rFonts w:hint="default" w:ascii="Times New Roman" w:hAnsi="Times New Roman" w:cs="Times New Roman"/>
          <w:color w:val="auto"/>
          <w:szCs w:val="28"/>
          <w:highlight w:val="none"/>
          <w:lang w:val="zh-CN" w:bidi="zh-CN"/>
        </w:rPr>
        <w:t>项目总体建设目标：</w:t>
      </w:r>
    </w:p>
    <w:p w14:paraId="1123FA1D">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目标1：建设园区高标准厂房约1.5万平方米、众创新孵化器约4000平方米。</w:t>
      </w:r>
    </w:p>
    <w:p w14:paraId="50C669AF">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目标2：建设智慧停车场(约200个停车位)，配套建设园区道路、管网、消防等其他基础设施。</w:t>
      </w:r>
    </w:p>
    <w:p w14:paraId="59616C67">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目标3：按时完成项目竣工验收。</w:t>
      </w:r>
    </w:p>
    <w:p w14:paraId="340CD9F4">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目标4：债券存续期内实现年度收支平衡和总体收支平衡。</w:t>
      </w:r>
    </w:p>
    <w:p w14:paraId="1025369B">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目标5：提升区域创新创业产业发展。</w:t>
      </w:r>
    </w:p>
    <w:p w14:paraId="56423825">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202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zh-CN"/>
        </w:rPr>
        <w:t>年度目标</w:t>
      </w:r>
    </w:p>
    <w:p w14:paraId="6136545E">
      <w:pPr>
        <w:spacing w:beforeLines="50" w:afterLines="50" w:line="360" w:lineRule="auto"/>
        <w:ind w:firstLine="560" w:firstLineChars="200"/>
        <w:jc w:val="both"/>
        <w:outlineLvl w:val="9"/>
        <w:rPr>
          <w:rFonts w:hint="default" w:ascii="Times New Roman" w:hAnsi="Times New Roman" w:cs="Times New Roman"/>
          <w:color w:val="auto"/>
          <w:highlight w:val="none"/>
          <w:lang w:val="zh-CN"/>
        </w:rPr>
      </w:pPr>
      <w:r>
        <w:rPr>
          <w:rFonts w:hint="default" w:ascii="Times New Roman" w:hAnsi="Times New Roman" w:cs="Times New Roman"/>
          <w:color w:val="auto"/>
          <w:highlight w:val="none"/>
          <w:lang w:val="zh-CN"/>
        </w:rPr>
        <w:t>目标1：建设园区高标准厂房约</w:t>
      </w:r>
      <w:r>
        <w:rPr>
          <w:rFonts w:hint="eastAsia" w:ascii="Times New Roman" w:hAnsi="Times New Roman" w:cs="Times New Roman"/>
          <w:color w:val="auto"/>
          <w:highlight w:val="none"/>
          <w:lang w:val="en-US" w:eastAsia="zh-CN"/>
        </w:rPr>
        <w:t>0.5</w:t>
      </w:r>
      <w:r>
        <w:rPr>
          <w:rFonts w:hint="default" w:ascii="Times New Roman" w:hAnsi="Times New Roman" w:cs="Times New Roman"/>
          <w:color w:val="auto"/>
          <w:highlight w:val="none"/>
          <w:lang w:val="zh-CN"/>
        </w:rPr>
        <w:t>万平方米。</w:t>
      </w:r>
    </w:p>
    <w:p w14:paraId="55009314">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cs="Times New Roman"/>
          <w:color w:val="auto"/>
          <w:highlight w:val="none"/>
          <w:lang w:val="zh-CN"/>
        </w:rPr>
        <w:t>目标2：新建停车位200个。</w:t>
      </w:r>
    </w:p>
    <w:p w14:paraId="7DEE3945">
      <w:pPr>
        <w:adjustRightInd/>
        <w:snapToGrid/>
        <w:spacing w:line="560" w:lineRule="exact"/>
        <w:ind w:firstLine="640"/>
        <w:outlineLvl w:val="0"/>
        <w:rPr>
          <w:rFonts w:hint="default" w:ascii="Times New Roman" w:hAnsi="Times New Roman" w:eastAsia="黑体" w:cs="Times New Roman"/>
          <w:sz w:val="28"/>
          <w:szCs w:val="32"/>
        </w:rPr>
      </w:pPr>
      <w:r>
        <w:rPr>
          <w:rFonts w:hint="default" w:ascii="Times New Roman" w:hAnsi="Times New Roman" w:eastAsia="黑体" w:cs="Times New Roman"/>
          <w:sz w:val="32"/>
          <w:szCs w:val="32"/>
        </w:rPr>
        <w:t>六、潜在影响项目的风险评估</w:t>
      </w:r>
    </w:p>
    <w:p w14:paraId="7269F1A2">
      <w:pPr>
        <w:spacing w:beforeLines="50" w:afterLines="50" w:line="360" w:lineRule="auto"/>
        <w:ind w:firstLine="560" w:firstLineChars="200"/>
        <w:jc w:val="both"/>
        <w:outlineLvl w:val="1"/>
        <w:rPr>
          <w:rFonts w:hint="default" w:ascii="Times New Roman" w:hAnsi="Times New Roman" w:eastAsia="仿宋" w:cs="Times New Roman"/>
          <w:sz w:val="28"/>
          <w:szCs w:val="28"/>
          <w:lang w:val="en-US" w:eastAsia="zh-CN"/>
        </w:rPr>
      </w:pPr>
      <w:bookmarkStart w:id="102" w:name="_Toc15343"/>
      <w:bookmarkStart w:id="103" w:name="_Toc522211123"/>
      <w:r>
        <w:rPr>
          <w:rFonts w:hint="default" w:ascii="Times New Roman" w:hAnsi="Times New Roman" w:eastAsia="仿宋" w:cs="Times New Roman"/>
          <w:sz w:val="28"/>
          <w:szCs w:val="28"/>
          <w:lang w:val="en-US" w:eastAsia="zh-CN"/>
        </w:rPr>
        <w:t>1.经营风险</w:t>
      </w:r>
      <w:bookmarkEnd w:id="102"/>
      <w:bookmarkEnd w:id="103"/>
    </w:p>
    <w:p w14:paraId="471F6806">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风险识别：经营风险是指生产经营的不确定性带来的风险。若项目投入运营后的收入未能达到预测值，将影响项目整体收益，对债券还本付息产生影响。</w:t>
      </w:r>
    </w:p>
    <w:p w14:paraId="1D5975F6">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风险控制措施：要求项目管理单位密切关注价格的收取情况，根据实际调整运营成本及业务体系，保证还本付息资金。</w:t>
      </w:r>
      <w:bookmarkStart w:id="104" w:name="_Toc4440"/>
      <w:bookmarkStart w:id="105" w:name="_Toc522211124"/>
    </w:p>
    <w:p w14:paraId="07EC853A">
      <w:pPr>
        <w:spacing w:beforeLines="50" w:afterLines="50" w:line="360" w:lineRule="auto"/>
        <w:ind w:firstLine="560" w:firstLineChars="200"/>
        <w:jc w:val="both"/>
        <w:outlineLvl w:val="1"/>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2.市场风险</w:t>
      </w:r>
      <w:bookmarkEnd w:id="104"/>
      <w:bookmarkEnd w:id="105"/>
    </w:p>
    <w:p w14:paraId="6947202F">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693C7DF4">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风险控制措施：要求项目单位合理安排债券发行金额和债券期限，做好债券的期限配比、还款计划和资金准备。</w:t>
      </w:r>
    </w:p>
    <w:p w14:paraId="69EB78C7">
      <w:pPr>
        <w:spacing w:beforeLines="50" w:afterLines="50" w:line="360" w:lineRule="auto"/>
        <w:ind w:firstLine="560" w:firstLineChars="200"/>
        <w:jc w:val="both"/>
        <w:outlineLvl w:val="1"/>
        <w:rPr>
          <w:rFonts w:hint="default" w:ascii="Times New Roman" w:hAnsi="Times New Roman" w:eastAsia="仿宋" w:cs="Times New Roman"/>
          <w:sz w:val="28"/>
          <w:szCs w:val="28"/>
          <w:lang w:val="en-US" w:eastAsia="zh-CN"/>
        </w:rPr>
      </w:pPr>
      <w:bookmarkStart w:id="106" w:name="_Toc522211125"/>
      <w:bookmarkStart w:id="107" w:name="_Toc15747"/>
      <w:r>
        <w:rPr>
          <w:rFonts w:hint="default" w:ascii="Times New Roman" w:hAnsi="Times New Roman" w:eastAsia="仿宋" w:cs="Times New Roman"/>
          <w:sz w:val="28"/>
          <w:szCs w:val="28"/>
          <w:lang w:val="en-US" w:eastAsia="zh-CN"/>
        </w:rPr>
        <w:t>3.财务风险</w:t>
      </w:r>
      <w:bookmarkEnd w:id="106"/>
      <w:bookmarkEnd w:id="107"/>
    </w:p>
    <w:p w14:paraId="7F8A0BCA">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09F34293">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风险控制措施：项目可行性研究报告编制过程中，在测算项目总投资时已考虑相关风险。同时，在项目建设过程中，加强项目施工预算管理、招标及合同管理，尽可能控制建设成本。</w:t>
      </w:r>
    </w:p>
    <w:p w14:paraId="07E9B5F2">
      <w:pPr>
        <w:adjustRightInd/>
        <w:snapToGrid/>
        <w:spacing w:line="560" w:lineRule="exact"/>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七、还款保障情况</w:t>
      </w:r>
    </w:p>
    <w:p w14:paraId="55CF9B30">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5DD44728">
      <w:pPr>
        <w:adjustRightInd/>
        <w:snapToGrid/>
        <w:spacing w:line="560" w:lineRule="exact"/>
        <w:outlineLvl w:val="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八、主管部门</w:t>
      </w:r>
      <w:r>
        <w:rPr>
          <w:rFonts w:hint="default" w:ascii="Times New Roman" w:hAnsi="Times New Roman" w:eastAsia="黑体" w:cs="Times New Roman"/>
          <w:sz w:val="32"/>
          <w:szCs w:val="32"/>
          <w:lang w:val="en-US" w:eastAsia="zh-CN"/>
        </w:rPr>
        <w:t>和项目单位职责</w:t>
      </w:r>
    </w:p>
    <w:p w14:paraId="398757E1">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 项目主管部门：</w:t>
      </w:r>
      <w:r>
        <w:rPr>
          <w:rFonts w:hint="eastAsia" w:ascii="Times New Roman" w:hAnsi="Times New Roman" w:cs="Times New Roman"/>
          <w:sz w:val="28"/>
          <w:szCs w:val="28"/>
          <w:lang w:val="en-US" w:eastAsia="zh-CN"/>
        </w:rPr>
        <w:t>射洪市发展和改革局</w:t>
      </w:r>
    </w:p>
    <w:p w14:paraId="34801D4A">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主要职责包括：严格按照基本建设程序建设项目，监督施工方严格按照施工规范施工，确保项目施工安全、项目建设质量、项目工期，切实加强项目建设、运营管理，确保项目收益覆盖债券本息。</w:t>
      </w:r>
    </w:p>
    <w:p w14:paraId="4118B92D">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2.项目业主单位：</w:t>
      </w:r>
      <w:r>
        <w:rPr>
          <w:rFonts w:hint="eastAsia" w:ascii="Times New Roman" w:hAnsi="Times New Roman" w:cs="Times New Roman"/>
          <w:sz w:val="28"/>
          <w:szCs w:val="28"/>
          <w:lang w:val="en-US" w:eastAsia="zh-CN"/>
        </w:rPr>
        <w:t>射洪市欣置建筑有限责任公司</w:t>
      </w:r>
    </w:p>
    <w:p w14:paraId="2CFF4B96">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主要职责包括：（1）根据项目实施计划开展相关工作</w:t>
      </w:r>
      <w:r>
        <w:rPr>
          <w:rFonts w:hint="eastAsia" w:ascii="Times New Roman" w:hAnsi="Times New Roman" w:cs="Times New Roman"/>
          <w:sz w:val="28"/>
          <w:szCs w:val="28"/>
          <w:lang w:val="en-US" w:eastAsia="zh-CN"/>
        </w:rPr>
        <w:t>；</w:t>
      </w:r>
      <w:r>
        <w:rPr>
          <w:rFonts w:hint="default" w:ascii="Times New Roman" w:hAnsi="Times New Roman" w:eastAsia="仿宋" w:cs="Times New Roman"/>
          <w:sz w:val="28"/>
          <w:szCs w:val="28"/>
          <w:lang w:val="en-US" w:eastAsia="zh-CN"/>
        </w:rPr>
        <w:t>（2）保证项目资金的使用与项目实施进度相匹配</w:t>
      </w:r>
      <w:r>
        <w:rPr>
          <w:rFonts w:hint="eastAsia" w:ascii="Times New Roman" w:hAnsi="Times New Roman" w:cs="Times New Roman"/>
          <w:sz w:val="28"/>
          <w:szCs w:val="28"/>
          <w:lang w:val="en-US" w:eastAsia="zh-CN"/>
        </w:rPr>
        <w:t>；</w:t>
      </w:r>
      <w:r>
        <w:rPr>
          <w:rFonts w:hint="default" w:ascii="Times New Roman" w:hAnsi="Times New Roman" w:eastAsia="仿宋" w:cs="Times New Roman"/>
          <w:sz w:val="28"/>
          <w:szCs w:val="28"/>
          <w:lang w:val="en-US" w:eastAsia="zh-CN"/>
        </w:rPr>
        <w:t>（3）定期向行业主管部门、实施机构及项目资金主管部门汇报项目实施进度及项目资金使用情况</w:t>
      </w:r>
      <w:r>
        <w:rPr>
          <w:rFonts w:hint="eastAsia" w:ascii="Times New Roman" w:hAnsi="Times New Roman" w:cs="Times New Roman"/>
          <w:sz w:val="28"/>
          <w:szCs w:val="28"/>
          <w:lang w:val="en-US" w:eastAsia="zh-CN"/>
        </w:rPr>
        <w:t>。</w:t>
      </w:r>
    </w:p>
    <w:p w14:paraId="484BA31A">
      <w:pPr>
        <w:keepNext w:val="0"/>
        <w:keepLines w:val="0"/>
        <w:pageBreakBefore w:val="0"/>
        <w:kinsoku/>
        <w:wordWrap/>
        <w:overflowPunct/>
        <w:topLinePunct w:val="0"/>
        <w:autoSpaceDE/>
        <w:autoSpaceDN/>
        <w:bidi w:val="0"/>
        <w:adjustRightInd/>
        <w:snapToGrid/>
        <w:spacing w:line="360" w:lineRule="auto"/>
        <w:ind w:firstLine="640"/>
        <w:textAlignment w:val="auto"/>
        <w:outlineLvl w:val="0"/>
        <w:rPr>
          <w:rFonts w:hint="default" w:ascii="Times New Roman" w:hAnsi="Times New Roman" w:eastAsia="仿宋" w:cs="Times New Roman"/>
          <w:kern w:val="2"/>
          <w:sz w:val="28"/>
          <w:szCs w:val="28"/>
          <w:lang w:val="en-US" w:eastAsia="zh-CN" w:bidi="ar-SA"/>
        </w:rPr>
      </w:pPr>
      <w:r>
        <w:rPr>
          <w:rFonts w:hint="default" w:ascii="Times New Roman" w:hAnsi="Times New Roman" w:eastAsia="黑体" w:cs="Times New Roman"/>
          <w:sz w:val="32"/>
          <w:szCs w:val="32"/>
        </w:rPr>
        <w:t>九</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补充说明</w:t>
      </w:r>
    </w:p>
    <w:p w14:paraId="56E76B76">
      <w:pPr>
        <w:pStyle w:val="6"/>
        <w:keepNext w:val="0"/>
        <w:keepLines w:val="0"/>
        <w:pageBreakBefore w:val="0"/>
        <w:widowControl/>
        <w:kinsoku/>
        <w:wordWrap/>
        <w:overflowPunct/>
        <w:topLinePunct w:val="0"/>
        <w:autoSpaceDE/>
        <w:autoSpaceDN/>
        <w:bidi w:val="0"/>
        <w:adjustRightInd/>
        <w:snapToGrid/>
        <w:spacing w:before="0" w:after="0" w:line="360" w:lineRule="auto"/>
        <w:ind w:firstLine="632" w:firstLineChars="200"/>
        <w:textAlignment w:val="auto"/>
        <w:outlineLvl w:val="9"/>
        <w:rPr>
          <w:rFonts w:hint="eastAsia" w:ascii="仿宋_GB2312" w:hAnsi="仿宋_GB2312" w:eastAsia="仿宋_GB2312" w:cs="Times New Roman"/>
          <w:w w:val="99"/>
          <w:sz w:val="32"/>
          <w:szCs w:val="32"/>
          <w:highlight w:val="none"/>
        </w:rPr>
      </w:pPr>
      <w:r>
        <w:rPr>
          <w:rFonts w:hint="eastAsia" w:ascii="仿宋_GB2312" w:hAnsi="仿宋_GB2312" w:eastAsia="仿宋_GB2312" w:cs="Times New Roman"/>
          <w:w w:val="99"/>
          <w:sz w:val="32"/>
          <w:szCs w:val="32"/>
          <w:highlight w:val="none"/>
        </w:rPr>
        <w:t>此项目债券资金总需求</w:t>
      </w:r>
      <w:r>
        <w:rPr>
          <w:rFonts w:hint="eastAsia" w:ascii="仿宋_GB2312" w:hAnsi="仿宋_GB2312" w:eastAsia="仿宋_GB2312" w:cs="Times New Roman"/>
          <w:w w:val="99"/>
          <w:sz w:val="32"/>
          <w:szCs w:val="32"/>
          <w:highlight w:val="none"/>
          <w:lang w:val="en-US" w:eastAsia="zh-CN"/>
        </w:rPr>
        <w:t>14400</w:t>
      </w:r>
      <w:r>
        <w:rPr>
          <w:rFonts w:hint="eastAsia" w:ascii="仿宋_GB2312" w:hAnsi="仿宋_GB2312" w:eastAsia="仿宋_GB2312" w:cs="Times New Roman"/>
          <w:w w:val="99"/>
          <w:sz w:val="32"/>
          <w:szCs w:val="32"/>
          <w:highlight w:val="none"/>
        </w:rPr>
        <w:t>万元，根据地方政府债务限额管理要求和项目实施进展情况，</w:t>
      </w:r>
      <w:r>
        <w:rPr>
          <w:rFonts w:hint="default" w:ascii="仿宋_GB2312" w:hAnsi="仿宋_GB2312" w:eastAsia="仿宋_GB2312" w:cs="Times New Roman"/>
          <w:w w:val="99"/>
          <w:sz w:val="32"/>
          <w:szCs w:val="32"/>
          <w:highlight w:val="none"/>
          <w:lang w:val="en-US" w:eastAsia="zh-CN"/>
        </w:rPr>
        <w:t>此项目202</w:t>
      </w:r>
      <w:r>
        <w:rPr>
          <w:rFonts w:hint="eastAsia" w:ascii="仿宋_GB2312" w:hAnsi="仿宋_GB2312" w:eastAsia="仿宋_GB2312" w:cs="Times New Roman"/>
          <w:w w:val="99"/>
          <w:sz w:val="32"/>
          <w:szCs w:val="32"/>
          <w:highlight w:val="none"/>
          <w:lang w:val="en-US" w:eastAsia="zh-CN"/>
        </w:rPr>
        <w:t>5</w:t>
      </w:r>
      <w:r>
        <w:rPr>
          <w:rFonts w:hint="default" w:ascii="仿宋_GB2312" w:hAnsi="仿宋_GB2312" w:eastAsia="仿宋_GB2312" w:cs="Times New Roman"/>
          <w:w w:val="99"/>
          <w:sz w:val="32"/>
          <w:szCs w:val="32"/>
          <w:highlight w:val="none"/>
          <w:lang w:val="en-US" w:eastAsia="zh-CN"/>
        </w:rPr>
        <w:t>年拟申请发行</w:t>
      </w:r>
      <w:r>
        <w:rPr>
          <w:rFonts w:hint="eastAsia" w:ascii="仿宋_GB2312" w:hAnsi="仿宋_GB2312" w:eastAsia="仿宋_GB2312" w:cs="Times New Roman"/>
          <w:w w:val="99"/>
          <w:sz w:val="32"/>
          <w:szCs w:val="32"/>
          <w:highlight w:val="none"/>
          <w:lang w:val="en-US" w:eastAsia="zh-CN"/>
        </w:rPr>
        <w:t>50</w:t>
      </w:r>
      <w:r>
        <w:rPr>
          <w:rFonts w:hint="default" w:ascii="仿宋_GB2312" w:hAnsi="仿宋_GB2312" w:eastAsia="仿宋_GB2312" w:cs="Times New Roman"/>
          <w:w w:val="99"/>
          <w:sz w:val="32"/>
          <w:szCs w:val="32"/>
          <w:highlight w:val="none"/>
          <w:lang w:val="en-US" w:eastAsia="zh-CN"/>
        </w:rPr>
        <w:t>00.00万元。本次拟发行金额为</w:t>
      </w:r>
      <w:r>
        <w:rPr>
          <w:rFonts w:hint="eastAsia" w:ascii="仿宋_GB2312" w:hAnsi="仿宋_GB2312" w:eastAsia="仿宋_GB2312" w:cs="Times New Roman"/>
          <w:w w:val="99"/>
          <w:sz w:val="32"/>
          <w:szCs w:val="32"/>
          <w:highlight w:val="none"/>
          <w:lang w:val="en-US" w:eastAsia="zh-CN"/>
        </w:rPr>
        <w:t>3500</w:t>
      </w:r>
      <w:r>
        <w:rPr>
          <w:rFonts w:hint="default" w:ascii="仿宋_GB2312" w:hAnsi="仿宋_GB2312" w:eastAsia="仿宋_GB2312" w:cs="Times New Roman"/>
          <w:w w:val="99"/>
          <w:sz w:val="32"/>
          <w:szCs w:val="32"/>
          <w:highlight w:val="none"/>
          <w:lang w:val="en-US" w:eastAsia="zh-CN"/>
        </w:rPr>
        <w:t>.00万元，期限</w:t>
      </w:r>
      <w:r>
        <w:rPr>
          <w:rFonts w:hint="eastAsia" w:ascii="仿宋_GB2312" w:hAnsi="仿宋_GB2312" w:eastAsia="仿宋_GB2312" w:cs="Times New Roman"/>
          <w:w w:val="99"/>
          <w:sz w:val="32"/>
          <w:szCs w:val="32"/>
          <w:highlight w:val="none"/>
          <w:lang w:val="en-US" w:eastAsia="zh-CN"/>
        </w:rPr>
        <w:t>10</w:t>
      </w:r>
      <w:r>
        <w:rPr>
          <w:rFonts w:hint="default" w:ascii="仿宋_GB2312" w:hAnsi="仿宋_GB2312" w:eastAsia="仿宋_GB2312" w:cs="Times New Roman"/>
          <w:w w:val="99"/>
          <w:sz w:val="32"/>
          <w:szCs w:val="32"/>
          <w:highlight w:val="none"/>
          <w:lang w:val="en-US" w:eastAsia="zh-CN"/>
        </w:rPr>
        <w:t>年。</w:t>
      </w:r>
      <w:r>
        <w:rPr>
          <w:rFonts w:hint="eastAsia" w:ascii="仿宋_GB2312" w:hAnsi="仿宋_GB2312" w:eastAsia="仿宋_GB2312" w:cs="Times New Roman"/>
          <w:w w:val="99"/>
          <w:sz w:val="32"/>
          <w:szCs w:val="32"/>
          <w:highlight w:val="none"/>
        </w:rPr>
        <w:t>该项目实施内容及收益来源未发生变动，在不超过项目债券总</w:t>
      </w:r>
      <w:bookmarkStart w:id="108" w:name="_GoBack"/>
      <w:bookmarkEnd w:id="108"/>
      <w:r>
        <w:rPr>
          <w:rFonts w:hint="eastAsia" w:ascii="仿宋_GB2312" w:hAnsi="仿宋_GB2312" w:eastAsia="仿宋_GB2312" w:cs="Times New Roman"/>
          <w:w w:val="99"/>
          <w:sz w:val="32"/>
          <w:szCs w:val="32"/>
          <w:highlight w:val="none"/>
        </w:rPr>
        <w:t>需求情况下，债券分批次跨年发行对项目整体融资平衡不构成实质影响。</w:t>
      </w:r>
    </w:p>
    <w:p w14:paraId="27C2605C">
      <w:pPr>
        <w:pStyle w:val="7"/>
        <w:rPr>
          <w:rFonts w:hint="default"/>
          <w:lang w:val="en-US" w:eastAsia="zh-CN"/>
        </w:rPr>
      </w:pPr>
    </w:p>
    <w:sectPr>
      <w:pgSz w:w="11906" w:h="16838"/>
      <w:pgMar w:top="1644" w:right="2098" w:bottom="141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Univers 45 Light">
    <w:altName w:val="Courier New"/>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5B910">
    <w:pPr>
      <w:pStyle w:val="12"/>
      <w:ind w:firstLine="360"/>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B8BE9">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6CB8BE9">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AE48F">
    <w:pPr>
      <w:pStyle w:val="13"/>
      <w:pBdr>
        <w:bottom w:val="none" w:color="auto" w:sz="0" w:space="0"/>
      </w:pBdr>
      <w:tabs>
        <w:tab w:val="center" w:pos="4150"/>
        <w:tab w:val="right" w:pos="8300"/>
        <w:tab w:val="clear" w:pos="4153"/>
        <w:tab w:val="clear" w:pos="8306"/>
      </w:tabs>
      <w:spacing w:line="240" w:lineRule="auto"/>
      <w:ind w:firstLine="0" w:firstLineChars="0"/>
    </w:pPr>
  </w:p>
  <w:p w14:paraId="32F0F4E4">
    <w:pPr>
      <w:spacing w:line="240" w:lineRule="auto"/>
      <w:ind w:firstLine="0" w:firstLineChars="0"/>
      <w:rPr>
        <w:rFonts w:hint="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691BA">
    <w:pPr>
      <w:pStyle w:val="13"/>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D974E"/>
    <w:multiLevelType w:val="multilevel"/>
    <w:tmpl w:val="BF3D974E"/>
    <w:lvl w:ilvl="0" w:tentative="0">
      <w:start w:val="1"/>
      <w:numFmt w:val="chineseCounting"/>
      <w:suff w:val="nothing"/>
      <w:lvlText w:val="%1、"/>
      <w:lvlJc w:val="left"/>
      <w:pPr>
        <w:ind w:left="0" w:firstLine="0"/>
      </w:pPr>
      <w:rPr>
        <w:rFonts w:hint="eastAsia"/>
      </w:rPr>
    </w:lvl>
    <w:lvl w:ilvl="1" w:tentative="0">
      <w:start w:val="1"/>
      <w:numFmt w:val="chineseCounting"/>
      <w:pStyle w:val="2"/>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677"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2B9DBAA2"/>
    <w:multiLevelType w:val="singleLevel"/>
    <w:tmpl w:val="2B9DBAA2"/>
    <w:lvl w:ilvl="0" w:tentative="0">
      <w:start w:val="2"/>
      <w:numFmt w:val="decimal"/>
      <w:suff w:val="space"/>
      <w:lvlText w:val="%1."/>
      <w:lvlJc w:val="left"/>
    </w:lvl>
  </w:abstractNum>
  <w:abstractNum w:abstractNumId="2">
    <w:nsid w:val="31D3991A"/>
    <w:multiLevelType w:val="singleLevel"/>
    <w:tmpl w:val="31D3991A"/>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M2Y2OWY2YzkzZDNjYjkzOWZkMDFkZWEyMTY5NGYifQ=="/>
    <w:docVar w:name="KSO_WPS_MARK_KEY" w:val="2d3808d4-080a-46b2-a033-2dfcb43df983"/>
  </w:docVars>
  <w:rsids>
    <w:rsidRoot w:val="00172A27"/>
    <w:rsid w:val="015F3DD2"/>
    <w:rsid w:val="016478F4"/>
    <w:rsid w:val="019422A6"/>
    <w:rsid w:val="01C82A28"/>
    <w:rsid w:val="021D229B"/>
    <w:rsid w:val="025B32B1"/>
    <w:rsid w:val="02AC5234"/>
    <w:rsid w:val="02DF1D3D"/>
    <w:rsid w:val="033A04C5"/>
    <w:rsid w:val="03935D73"/>
    <w:rsid w:val="03AA7B5F"/>
    <w:rsid w:val="04DA0918"/>
    <w:rsid w:val="05692F8B"/>
    <w:rsid w:val="05CF7D50"/>
    <w:rsid w:val="06423279"/>
    <w:rsid w:val="06DD649D"/>
    <w:rsid w:val="06F602E9"/>
    <w:rsid w:val="06FC6923"/>
    <w:rsid w:val="07D01B5E"/>
    <w:rsid w:val="089B260D"/>
    <w:rsid w:val="08B46C87"/>
    <w:rsid w:val="08BD33F4"/>
    <w:rsid w:val="08CE609D"/>
    <w:rsid w:val="093E2451"/>
    <w:rsid w:val="09550CC1"/>
    <w:rsid w:val="0AE4768F"/>
    <w:rsid w:val="0B0F01F5"/>
    <w:rsid w:val="0B554854"/>
    <w:rsid w:val="0C7C4062"/>
    <w:rsid w:val="0CBE28CD"/>
    <w:rsid w:val="0D03664E"/>
    <w:rsid w:val="0D140625"/>
    <w:rsid w:val="0F271E22"/>
    <w:rsid w:val="0F9673BA"/>
    <w:rsid w:val="0FC25AA9"/>
    <w:rsid w:val="0FD22917"/>
    <w:rsid w:val="11031B22"/>
    <w:rsid w:val="11D97647"/>
    <w:rsid w:val="125B1239"/>
    <w:rsid w:val="12802254"/>
    <w:rsid w:val="133129AC"/>
    <w:rsid w:val="13385F37"/>
    <w:rsid w:val="133E02C4"/>
    <w:rsid w:val="134A0B53"/>
    <w:rsid w:val="134C478E"/>
    <w:rsid w:val="136046DE"/>
    <w:rsid w:val="138A41C1"/>
    <w:rsid w:val="13C254AC"/>
    <w:rsid w:val="14294AD0"/>
    <w:rsid w:val="15520BE1"/>
    <w:rsid w:val="15673B02"/>
    <w:rsid w:val="15913019"/>
    <w:rsid w:val="1598015F"/>
    <w:rsid w:val="15B11EE6"/>
    <w:rsid w:val="16BE3AB0"/>
    <w:rsid w:val="16BE59A3"/>
    <w:rsid w:val="1725340C"/>
    <w:rsid w:val="181B2912"/>
    <w:rsid w:val="181D0DEF"/>
    <w:rsid w:val="1825554A"/>
    <w:rsid w:val="18561C0B"/>
    <w:rsid w:val="189C2603"/>
    <w:rsid w:val="19524380"/>
    <w:rsid w:val="195B607F"/>
    <w:rsid w:val="19E61AC7"/>
    <w:rsid w:val="1A1D0C33"/>
    <w:rsid w:val="1A22449B"/>
    <w:rsid w:val="1A493A8B"/>
    <w:rsid w:val="1A89451A"/>
    <w:rsid w:val="1AAB26E2"/>
    <w:rsid w:val="1AE35C9A"/>
    <w:rsid w:val="1C623275"/>
    <w:rsid w:val="1C9378D2"/>
    <w:rsid w:val="1D0B577E"/>
    <w:rsid w:val="1D4E55A7"/>
    <w:rsid w:val="1DCB6589"/>
    <w:rsid w:val="1F7252E7"/>
    <w:rsid w:val="20427645"/>
    <w:rsid w:val="20DF4EE0"/>
    <w:rsid w:val="21472A39"/>
    <w:rsid w:val="21953D7D"/>
    <w:rsid w:val="21997D01"/>
    <w:rsid w:val="21D7200F"/>
    <w:rsid w:val="221819BC"/>
    <w:rsid w:val="229B4DEB"/>
    <w:rsid w:val="235B60B3"/>
    <w:rsid w:val="241A4435"/>
    <w:rsid w:val="257E1526"/>
    <w:rsid w:val="25BD3A72"/>
    <w:rsid w:val="265170F2"/>
    <w:rsid w:val="26BE72FA"/>
    <w:rsid w:val="27BB1A8B"/>
    <w:rsid w:val="28754330"/>
    <w:rsid w:val="28A86680"/>
    <w:rsid w:val="299338F4"/>
    <w:rsid w:val="29A44ECD"/>
    <w:rsid w:val="2A4627F7"/>
    <w:rsid w:val="2A5C7555"/>
    <w:rsid w:val="2AA50EFC"/>
    <w:rsid w:val="2B42499D"/>
    <w:rsid w:val="2C45359F"/>
    <w:rsid w:val="2C5B55EB"/>
    <w:rsid w:val="2C75153D"/>
    <w:rsid w:val="2C772424"/>
    <w:rsid w:val="2D2041E2"/>
    <w:rsid w:val="2D7F180A"/>
    <w:rsid w:val="2D9139BA"/>
    <w:rsid w:val="2EA96AE1"/>
    <w:rsid w:val="2FA757DA"/>
    <w:rsid w:val="2FE06533"/>
    <w:rsid w:val="2FF12F3C"/>
    <w:rsid w:val="2FF86323"/>
    <w:rsid w:val="2FFC7BB4"/>
    <w:rsid w:val="304B45F7"/>
    <w:rsid w:val="307750E9"/>
    <w:rsid w:val="30E402A4"/>
    <w:rsid w:val="30F73B34"/>
    <w:rsid w:val="312F7772"/>
    <w:rsid w:val="31651C7A"/>
    <w:rsid w:val="3195331A"/>
    <w:rsid w:val="32200C4A"/>
    <w:rsid w:val="32667C21"/>
    <w:rsid w:val="32867865"/>
    <w:rsid w:val="333068EB"/>
    <w:rsid w:val="338342F2"/>
    <w:rsid w:val="345E211C"/>
    <w:rsid w:val="346F3B42"/>
    <w:rsid w:val="348A1163"/>
    <w:rsid w:val="353510CF"/>
    <w:rsid w:val="37002872"/>
    <w:rsid w:val="375548D2"/>
    <w:rsid w:val="37985945"/>
    <w:rsid w:val="38286812"/>
    <w:rsid w:val="385173CD"/>
    <w:rsid w:val="38F815D3"/>
    <w:rsid w:val="392A513A"/>
    <w:rsid w:val="39550E85"/>
    <w:rsid w:val="39AB14DF"/>
    <w:rsid w:val="3A606BEE"/>
    <w:rsid w:val="3ADF4044"/>
    <w:rsid w:val="3B3F4A55"/>
    <w:rsid w:val="3BBD597A"/>
    <w:rsid w:val="3C074E47"/>
    <w:rsid w:val="3CB6585D"/>
    <w:rsid w:val="3CDD14C8"/>
    <w:rsid w:val="3D6764E5"/>
    <w:rsid w:val="3DC17E38"/>
    <w:rsid w:val="3F7171A7"/>
    <w:rsid w:val="3FA016BB"/>
    <w:rsid w:val="3FBF3121"/>
    <w:rsid w:val="3FE947AA"/>
    <w:rsid w:val="400F0808"/>
    <w:rsid w:val="4096605E"/>
    <w:rsid w:val="40E13EB9"/>
    <w:rsid w:val="428065A3"/>
    <w:rsid w:val="42895F72"/>
    <w:rsid w:val="42E85458"/>
    <w:rsid w:val="43525542"/>
    <w:rsid w:val="43B24993"/>
    <w:rsid w:val="448F7DDB"/>
    <w:rsid w:val="44F25523"/>
    <w:rsid w:val="45A831F7"/>
    <w:rsid w:val="45AA2264"/>
    <w:rsid w:val="45F33215"/>
    <w:rsid w:val="464976A8"/>
    <w:rsid w:val="46585B96"/>
    <w:rsid w:val="46D76B18"/>
    <w:rsid w:val="46FF7BD5"/>
    <w:rsid w:val="4788128D"/>
    <w:rsid w:val="482F5E51"/>
    <w:rsid w:val="487E46E3"/>
    <w:rsid w:val="48855A71"/>
    <w:rsid w:val="48A73C3A"/>
    <w:rsid w:val="49B20AE8"/>
    <w:rsid w:val="4A225C6E"/>
    <w:rsid w:val="4A590D1A"/>
    <w:rsid w:val="4AC96CBA"/>
    <w:rsid w:val="4AFE23CE"/>
    <w:rsid w:val="4B094738"/>
    <w:rsid w:val="4B83098E"/>
    <w:rsid w:val="4BA91FD8"/>
    <w:rsid w:val="4C383D20"/>
    <w:rsid w:val="4C3B065C"/>
    <w:rsid w:val="4D9F7B9D"/>
    <w:rsid w:val="4DE90850"/>
    <w:rsid w:val="4E0538DC"/>
    <w:rsid w:val="4E335C67"/>
    <w:rsid w:val="4E6D1482"/>
    <w:rsid w:val="4F764366"/>
    <w:rsid w:val="4FC11A85"/>
    <w:rsid w:val="4FE54DD3"/>
    <w:rsid w:val="50477973"/>
    <w:rsid w:val="50C23119"/>
    <w:rsid w:val="511F2F07"/>
    <w:rsid w:val="512322CB"/>
    <w:rsid w:val="513B13C3"/>
    <w:rsid w:val="515024AD"/>
    <w:rsid w:val="515E42D3"/>
    <w:rsid w:val="52900446"/>
    <w:rsid w:val="52E635B0"/>
    <w:rsid w:val="539C566F"/>
    <w:rsid w:val="54AD6A7C"/>
    <w:rsid w:val="54C24411"/>
    <w:rsid w:val="54D172B6"/>
    <w:rsid w:val="55CE0A58"/>
    <w:rsid w:val="5623779E"/>
    <w:rsid w:val="563B5030"/>
    <w:rsid w:val="56521689"/>
    <w:rsid w:val="56A812A9"/>
    <w:rsid w:val="56AC797B"/>
    <w:rsid w:val="57290025"/>
    <w:rsid w:val="5794408F"/>
    <w:rsid w:val="57EC5624"/>
    <w:rsid w:val="58676121"/>
    <w:rsid w:val="59070080"/>
    <w:rsid w:val="59916D7C"/>
    <w:rsid w:val="5A1B7AD6"/>
    <w:rsid w:val="5A53200D"/>
    <w:rsid w:val="5B5473DC"/>
    <w:rsid w:val="5BF97111"/>
    <w:rsid w:val="5C606182"/>
    <w:rsid w:val="5CFB2AF2"/>
    <w:rsid w:val="5D221689"/>
    <w:rsid w:val="5DB25F7C"/>
    <w:rsid w:val="5DEF17A5"/>
    <w:rsid w:val="5F0E0117"/>
    <w:rsid w:val="5FB6247D"/>
    <w:rsid w:val="612B4E50"/>
    <w:rsid w:val="621951BC"/>
    <w:rsid w:val="62347251"/>
    <w:rsid w:val="62C61A26"/>
    <w:rsid w:val="635B2E37"/>
    <w:rsid w:val="63D63372"/>
    <w:rsid w:val="640D3093"/>
    <w:rsid w:val="641937E6"/>
    <w:rsid w:val="651C2EE6"/>
    <w:rsid w:val="655B7E2E"/>
    <w:rsid w:val="65F64108"/>
    <w:rsid w:val="667A754C"/>
    <w:rsid w:val="66CF2665"/>
    <w:rsid w:val="66D33649"/>
    <w:rsid w:val="679A19BD"/>
    <w:rsid w:val="67FB3202"/>
    <w:rsid w:val="68496314"/>
    <w:rsid w:val="695A26B0"/>
    <w:rsid w:val="698750D7"/>
    <w:rsid w:val="69F66377"/>
    <w:rsid w:val="6A9516EC"/>
    <w:rsid w:val="6AC16985"/>
    <w:rsid w:val="6ACA28B9"/>
    <w:rsid w:val="6AEB7832"/>
    <w:rsid w:val="6B2E643B"/>
    <w:rsid w:val="6B8556BA"/>
    <w:rsid w:val="6BBD0EFB"/>
    <w:rsid w:val="6BDD334B"/>
    <w:rsid w:val="6C2C198C"/>
    <w:rsid w:val="6C976A2F"/>
    <w:rsid w:val="6C9A123C"/>
    <w:rsid w:val="6CB247D7"/>
    <w:rsid w:val="6D0D4104"/>
    <w:rsid w:val="6D4F0278"/>
    <w:rsid w:val="6D821E63"/>
    <w:rsid w:val="6E7C32EF"/>
    <w:rsid w:val="6EA6211A"/>
    <w:rsid w:val="6F20257D"/>
    <w:rsid w:val="7104581E"/>
    <w:rsid w:val="711A32FB"/>
    <w:rsid w:val="7121017E"/>
    <w:rsid w:val="716442CB"/>
    <w:rsid w:val="718860E6"/>
    <w:rsid w:val="71CF3194"/>
    <w:rsid w:val="723637B5"/>
    <w:rsid w:val="72A65155"/>
    <w:rsid w:val="739A5FC5"/>
    <w:rsid w:val="73D019E7"/>
    <w:rsid w:val="742B3769"/>
    <w:rsid w:val="76984A3E"/>
    <w:rsid w:val="77090774"/>
    <w:rsid w:val="77AB254F"/>
    <w:rsid w:val="77C74EAF"/>
    <w:rsid w:val="78BE2756"/>
    <w:rsid w:val="78C733B9"/>
    <w:rsid w:val="79190BC0"/>
    <w:rsid w:val="79A90D10"/>
    <w:rsid w:val="7A1E3875"/>
    <w:rsid w:val="7A747570"/>
    <w:rsid w:val="7B000E04"/>
    <w:rsid w:val="7B430ADD"/>
    <w:rsid w:val="7C855A65"/>
    <w:rsid w:val="7C9D11D9"/>
    <w:rsid w:val="7CE50319"/>
    <w:rsid w:val="7D6B6F8C"/>
    <w:rsid w:val="7DF369FE"/>
    <w:rsid w:val="7E3A462D"/>
    <w:rsid w:val="7F34107C"/>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720" w:firstLineChars="200"/>
      <w:jc w:val="both"/>
    </w:pPr>
    <w:rPr>
      <w:rFonts w:eastAsia="仿宋" w:asciiTheme="minorAscii" w:hAnsiTheme="minorAscii" w:cstheme="minorBidi"/>
      <w:kern w:val="2"/>
      <w:sz w:val="28"/>
      <w:szCs w:val="24"/>
      <w:lang w:val="en-US" w:eastAsia="zh-CN" w:bidi="ar-SA"/>
    </w:rPr>
  </w:style>
  <w:style w:type="paragraph" w:styleId="2">
    <w:name w:val="heading 2"/>
    <w:basedOn w:val="1"/>
    <w:next w:val="1"/>
    <w:qFormat/>
    <w:uiPriority w:val="1"/>
    <w:pPr>
      <w:numPr>
        <w:ilvl w:val="1"/>
        <w:numId w:val="1"/>
      </w:numPr>
      <w:tabs>
        <w:tab w:val="left" w:pos="0"/>
        <w:tab w:val="left" w:pos="3285"/>
      </w:tabs>
      <w:spacing w:before="120" w:after="120" w:line="240" w:lineRule="auto"/>
      <w:ind w:firstLine="321" w:firstLineChars="100"/>
      <w:outlineLvl w:val="1"/>
    </w:pPr>
    <w:rPr>
      <w:rFonts w:ascii="Times New Roman" w:hAnsi="Times New Roman" w:eastAsia="楷体" w:cs="Times New Roman"/>
      <w:b/>
      <w:bCs/>
      <w:sz w:val="32"/>
      <w:szCs w:val="32"/>
    </w:rPr>
  </w:style>
  <w:style w:type="paragraph" w:styleId="3">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line="360" w:lineRule="auto"/>
      <w:outlineLvl w:val="3"/>
    </w:pPr>
    <w:rPr>
      <w:rFonts w:ascii="Arial" w:hAnsi="Arial" w:eastAsia="黑体"/>
      <w:b/>
    </w:rPr>
  </w:style>
  <w:style w:type="character" w:default="1" w:styleId="18">
    <w:name w:val="Default Paragraph Font"/>
    <w:autoRedefine/>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5">
    <w:name w:val="Normal Indent"/>
    <w:autoRedefine/>
    <w:qFormat/>
    <w:uiPriority w:val="0"/>
    <w:pPr>
      <w:widowControl w:val="0"/>
      <w:spacing w:before="260" w:after="260" w:line="360" w:lineRule="auto"/>
      <w:ind w:firstLine="540" w:firstLineChars="200"/>
      <w:jc w:val="both"/>
    </w:pPr>
    <w:rPr>
      <w:rFonts w:eastAsia="仿宋" w:asciiTheme="minorAscii" w:hAnsiTheme="minorAscii" w:cstheme="minorBidi"/>
      <w:kern w:val="2"/>
      <w:sz w:val="28"/>
      <w:szCs w:val="20"/>
      <w:lang w:val="en-US" w:eastAsia="zh-CN" w:bidi="ar-SA"/>
    </w:rPr>
  </w:style>
  <w:style w:type="paragraph" w:styleId="6">
    <w:name w:val="Body Text"/>
    <w:basedOn w:val="1"/>
    <w:next w:val="7"/>
    <w:autoRedefine/>
    <w:qFormat/>
    <w:uiPriority w:val="0"/>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7">
    <w:name w:val="toc 1"/>
    <w:basedOn w:val="1"/>
    <w:next w:val="1"/>
    <w:autoRedefine/>
    <w:qFormat/>
    <w:uiPriority w:val="39"/>
    <w:pPr>
      <w:adjustRightInd w:val="0"/>
      <w:snapToGrid w:val="0"/>
      <w:spacing w:before="120" w:after="120"/>
      <w:jc w:val="left"/>
    </w:pPr>
    <w:rPr>
      <w:rFonts w:ascii="Calibri" w:hAnsi="Calibri" w:eastAsia="仿宋_GB2312" w:cs="Calibri"/>
      <w:b/>
      <w:bCs/>
      <w:caps/>
      <w:sz w:val="28"/>
      <w:szCs w:val="28"/>
    </w:rPr>
  </w:style>
  <w:style w:type="paragraph" w:styleId="8">
    <w:name w:val="Body Text Indent"/>
    <w:basedOn w:val="1"/>
    <w:next w:val="9"/>
    <w:unhideWhenUsed/>
    <w:qFormat/>
    <w:uiPriority w:val="99"/>
    <w:pPr>
      <w:spacing w:after="120"/>
      <w:ind w:left="420" w:leftChars="200"/>
    </w:pPr>
  </w:style>
  <w:style w:type="paragraph" w:styleId="9">
    <w:name w:val="toc 4"/>
    <w:next w:val="1"/>
    <w:autoRedefine/>
    <w:unhideWhenUsed/>
    <w:qFormat/>
    <w:uiPriority w:val="39"/>
    <w:pPr>
      <w:widowControl w:val="0"/>
      <w:spacing w:before="20" w:beforeLines="20" w:after="20" w:afterLines="20" w:line="360" w:lineRule="auto"/>
      <w:ind w:left="720" w:firstLine="200" w:firstLineChars="200"/>
      <w:jc w:val="left"/>
    </w:pPr>
    <w:rPr>
      <w:rFonts w:ascii="Calibri" w:hAnsi="Calibri" w:eastAsia="宋体" w:cs="Times New Roman"/>
      <w:kern w:val="2"/>
      <w:sz w:val="20"/>
      <w:szCs w:val="20"/>
      <w:lang w:val="en-US" w:eastAsia="zh-CN" w:bidi="ar-SA"/>
    </w:rPr>
  </w:style>
  <w:style w:type="paragraph" w:styleId="10">
    <w:name w:val="Block Text"/>
    <w:basedOn w:val="1"/>
    <w:autoRedefine/>
    <w:qFormat/>
    <w:uiPriority w:val="99"/>
    <w:pPr>
      <w:spacing w:line="300" w:lineRule="exact"/>
      <w:ind w:left="-105" w:leftChars="-50" w:right="-105" w:rightChars="-50"/>
      <w:jc w:val="center"/>
    </w:pPr>
    <w:rPr>
      <w:rFonts w:ascii="宋体" w:hAnsi="宋体"/>
      <w:sz w:val="18"/>
      <w:szCs w:val="20"/>
    </w:rPr>
  </w:style>
  <w:style w:type="paragraph" w:styleId="11">
    <w:name w:val="Body Text Indent 2"/>
    <w:basedOn w:val="1"/>
    <w:autoRedefine/>
    <w:qFormat/>
    <w:uiPriority w:val="0"/>
    <w:pPr>
      <w:spacing w:after="120" w:line="480" w:lineRule="auto"/>
      <w:ind w:left="420" w:leftChars="200"/>
    </w:pPr>
    <w:rPr>
      <w:sz w:val="21"/>
      <w:szCs w:val="24"/>
    </w:rPr>
  </w:style>
  <w:style w:type="paragraph" w:styleId="12">
    <w:name w:val="footer"/>
    <w:basedOn w:val="1"/>
    <w:autoRedefine/>
    <w:unhideWhenUsed/>
    <w:qFormat/>
    <w:uiPriority w:val="99"/>
    <w:pPr>
      <w:tabs>
        <w:tab w:val="center" w:pos="4153"/>
        <w:tab w:val="right" w:pos="8306"/>
      </w:tabs>
      <w:snapToGrid w:val="0"/>
    </w:pPr>
    <w:rPr>
      <w:sz w:val="18"/>
      <w:szCs w:val="18"/>
    </w:rPr>
  </w:style>
  <w:style w:type="paragraph" w:styleId="13">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Body Text 2"/>
    <w:basedOn w:val="1"/>
    <w:next w:val="6"/>
    <w:qFormat/>
    <w:uiPriority w:val="99"/>
    <w:pPr>
      <w:spacing w:after="120" w:line="480" w:lineRule="auto"/>
      <w:ind w:firstLine="560"/>
    </w:pPr>
    <w:rPr>
      <w:rFonts w:ascii="Calibri" w:hAnsi="Calibri"/>
    </w:rPr>
  </w:style>
  <w:style w:type="paragraph" w:styleId="15">
    <w:name w:val="Body Text First Indent"/>
    <w:basedOn w:val="6"/>
    <w:next w:val="6"/>
    <w:autoRedefine/>
    <w:qFormat/>
    <w:uiPriority w:val="0"/>
    <w:pPr>
      <w:autoSpaceDE/>
      <w:autoSpaceDN/>
      <w:adjustRightInd/>
      <w:spacing w:after="120"/>
      <w:ind w:firstLine="420" w:firstLineChars="100"/>
      <w:jc w:val="both"/>
    </w:pPr>
    <w:rPr>
      <w:kern w:val="2"/>
      <w:sz w:val="21"/>
    </w:rPr>
  </w:style>
  <w:style w:type="paragraph" w:styleId="16">
    <w:name w:val="Body Text First Indent 2"/>
    <w:basedOn w:val="8"/>
    <w:next w:val="5"/>
    <w:qFormat/>
    <w:uiPriority w:val="0"/>
    <w:pPr>
      <w:ind w:firstLine="420" w:firstLineChars="200"/>
    </w:pPr>
  </w:style>
  <w:style w:type="character" w:styleId="19">
    <w:name w:val="Emphasis"/>
    <w:basedOn w:val="18"/>
    <w:autoRedefine/>
    <w:qFormat/>
    <w:uiPriority w:val="20"/>
    <w:rPr>
      <w:i/>
    </w:rPr>
  </w:style>
  <w:style w:type="paragraph" w:customStyle="1" w:styleId="20">
    <w:name w:val="正文文字 6"/>
    <w:next w:val="1"/>
    <w:autoRedefine/>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customStyle="1" w:styleId="21">
    <w:name w:val="表格2"/>
    <w:basedOn w:val="10"/>
    <w:autoRedefine/>
    <w:qFormat/>
    <w:uiPriority w:val="0"/>
    <w:pPr>
      <w:spacing w:line="240" w:lineRule="exact"/>
      <w:ind w:left="0" w:leftChars="0" w:right="0" w:rightChars="0" w:firstLine="0" w:firstLineChars="0"/>
    </w:pPr>
    <w:rPr>
      <w:rFonts w:ascii="Times New Roman" w:hAnsi="Times New Roman" w:cs="Times New Roman"/>
      <w:sz w:val="22"/>
      <w:szCs w:val="20"/>
    </w:rPr>
  </w:style>
  <w:style w:type="paragraph" w:customStyle="1" w:styleId="22">
    <w:name w:val="样式8"/>
    <w:basedOn w:val="1"/>
    <w:link w:val="27"/>
    <w:autoRedefine/>
    <w:qFormat/>
    <w:uiPriority w:val="0"/>
    <w:pPr>
      <w:spacing w:line="360" w:lineRule="auto"/>
      <w:ind w:firstLine="720" w:firstLineChars="200"/>
      <w:jc w:val="both"/>
    </w:pPr>
    <w:rPr>
      <w:rFonts w:ascii="Times New Roman" w:hAnsi="Times New Roman" w:eastAsia="仿宋"/>
      <w:sz w:val="28"/>
      <w:szCs w:val="24"/>
    </w:rPr>
  </w:style>
  <w:style w:type="paragraph" w:customStyle="1" w:styleId="23">
    <w:name w:val="表格222"/>
    <w:basedOn w:val="7"/>
    <w:autoRedefine/>
    <w:qFormat/>
    <w:uiPriority w:val="0"/>
    <w:pPr>
      <w:spacing w:line="240" w:lineRule="exact"/>
      <w:jc w:val="center"/>
    </w:pPr>
    <w:rPr>
      <w:rFonts w:ascii="Times New Roman" w:hAnsi="Times New Roman" w:eastAsia="仿宋" w:cs="Calibri"/>
      <w:sz w:val="22"/>
    </w:rPr>
  </w:style>
  <w:style w:type="paragraph" w:customStyle="1" w:styleId="24">
    <w:name w:val="Default"/>
    <w:autoRedefine/>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25">
    <w:name w:val="font21"/>
    <w:basedOn w:val="18"/>
    <w:autoRedefine/>
    <w:qFormat/>
    <w:uiPriority w:val="0"/>
    <w:rPr>
      <w:rFonts w:hint="default" w:ascii="Times New Roman" w:hAnsi="Times New Roman" w:cs="Times New Roman"/>
      <w:color w:val="000000"/>
      <w:sz w:val="28"/>
      <w:szCs w:val="28"/>
      <w:u w:val="none"/>
    </w:rPr>
  </w:style>
  <w:style w:type="character" w:customStyle="1" w:styleId="26">
    <w:name w:val="font31"/>
    <w:basedOn w:val="18"/>
    <w:autoRedefine/>
    <w:qFormat/>
    <w:uiPriority w:val="0"/>
    <w:rPr>
      <w:rFonts w:hint="eastAsia" w:ascii="宋体" w:hAnsi="宋体" w:eastAsia="宋体" w:cs="宋体"/>
      <w:color w:val="000000"/>
      <w:sz w:val="20"/>
      <w:szCs w:val="20"/>
      <w:u w:val="none"/>
    </w:rPr>
  </w:style>
  <w:style w:type="character" w:customStyle="1" w:styleId="27">
    <w:name w:val="样式8 Char1"/>
    <w:link w:val="22"/>
    <w:autoRedefine/>
    <w:qFormat/>
    <w:uiPriority w:val="0"/>
    <w:rPr>
      <w:rFonts w:ascii="Times New Roman" w:hAnsi="Times New Roman" w:eastAsia="仿宋"/>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1340</Words>
  <Characters>1516</Characters>
  <Lines>0</Lines>
  <Paragraphs>0</Paragraphs>
  <TotalTime>12</TotalTime>
  <ScaleCrop>false</ScaleCrop>
  <LinksUpToDate>false</LinksUpToDate>
  <CharactersWithSpaces>1516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2019-12-07T12:57:00Z</dcterms:created>
  <dc:creator>李仕林</dc:creator>
  <cp:lastModifiedBy>p+m+n</cp:lastModifiedBy>
  <cp:lastPrinted>2025-07-11T03:19:00Z</cp:lastPrinted>
  <dcterms:modified xsi:type="dcterms:W3CDTF">2025-12-03T03:26:48Z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0A26AC2D16AB4BA9ABA351BDDE8153E3_13</vt:lpwstr>
  </property>
  <property fmtid="{D5CDD505-2E9C-101B-9397-08002B2CF9AE}" pid="4" name="KSOTemplateDocerSaveRecord">
    <vt:lpwstr>eyJoZGlkIjoiNThmNjJjMzUxNTc5ZmQ4NTliMjhiMzZmYzcwY2MzY2YiLCJ1c2VySWQiOiIyNDMxMDExMzIifQ==</vt:lpwstr>
  </property>
</Properties>
</file>